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2160E7F">
      <w:pPr>
        <w:jc w:val="center"/>
        <w:rPr>
          <w:rFonts w:hint="eastAsia" w:ascii="宋体" w:hAnsi="宋体"/>
          <w:sz w:val="36"/>
          <w:szCs w:val="36"/>
        </w:rPr>
      </w:pPr>
    </w:p>
    <w:p w14:paraId="7336D4D5">
      <w:pPr>
        <w:jc w:val="center"/>
        <w:rPr>
          <w:rFonts w:hint="eastAsia" w:ascii="宋体" w:hAnsi="宋体"/>
          <w:sz w:val="36"/>
          <w:szCs w:val="36"/>
        </w:rPr>
      </w:pPr>
    </w:p>
    <w:p w14:paraId="617A5782">
      <w:pPr>
        <w:jc w:val="center"/>
        <w:rPr>
          <w:rFonts w:hint="eastAsia" w:ascii="宋体" w:hAnsi="宋体"/>
          <w:b/>
          <w:spacing w:val="20"/>
          <w:sz w:val="36"/>
          <w:szCs w:val="18"/>
        </w:rPr>
      </w:pPr>
      <w:r>
        <w:rPr>
          <w:rFonts w:hint="eastAsia" w:ascii="宋体" w:hAnsi="宋体"/>
          <w:b/>
          <w:spacing w:val="20"/>
          <w:sz w:val="36"/>
          <w:szCs w:val="18"/>
        </w:rPr>
        <w:t>《涉重金属矿山环境污染防治技术指南</w:t>
      </w:r>
    </w:p>
    <w:p w14:paraId="65FBA62E">
      <w:pPr>
        <w:jc w:val="center"/>
        <w:rPr>
          <w:rFonts w:hint="eastAsia" w:ascii="宋体" w:hAnsi="宋体"/>
          <w:b/>
          <w:spacing w:val="20"/>
          <w:sz w:val="36"/>
          <w:szCs w:val="18"/>
        </w:rPr>
      </w:pPr>
      <w:r>
        <w:rPr>
          <w:rFonts w:hint="eastAsia" w:ascii="宋体" w:hAnsi="宋体"/>
          <w:b/>
          <w:spacing w:val="20"/>
          <w:sz w:val="36"/>
          <w:szCs w:val="18"/>
        </w:rPr>
        <w:t>第4部分：分区风险评估及防控》编制说明</w:t>
      </w:r>
    </w:p>
    <w:p w14:paraId="24B4FA09">
      <w:pPr>
        <w:jc w:val="center"/>
        <w:rPr>
          <w:rFonts w:hint="eastAsia" w:ascii="宋体" w:hAnsi="宋体"/>
          <w:b/>
          <w:spacing w:val="20"/>
          <w:sz w:val="36"/>
          <w:szCs w:val="18"/>
        </w:rPr>
      </w:pPr>
    </w:p>
    <w:p w14:paraId="03D631A3">
      <w:pPr>
        <w:jc w:val="center"/>
        <w:rPr>
          <w:rFonts w:hint="eastAsia" w:ascii="宋体" w:hAnsi="宋体"/>
          <w:sz w:val="36"/>
          <w:szCs w:val="36"/>
        </w:rPr>
      </w:pPr>
      <w:r>
        <w:rPr>
          <w:rFonts w:hint="eastAsia" w:ascii="宋体" w:hAnsi="宋体"/>
          <w:b/>
          <w:spacing w:val="20"/>
          <w:sz w:val="36"/>
          <w:szCs w:val="18"/>
        </w:rPr>
        <w:t>（征求意见稿）</w:t>
      </w:r>
    </w:p>
    <w:p w14:paraId="4B3ADC88">
      <w:pPr>
        <w:jc w:val="center"/>
        <w:rPr>
          <w:rFonts w:hint="eastAsia" w:ascii="宋体" w:hAnsi="宋体"/>
          <w:sz w:val="36"/>
          <w:szCs w:val="36"/>
        </w:rPr>
      </w:pPr>
    </w:p>
    <w:p w14:paraId="054C244C">
      <w:pPr>
        <w:jc w:val="center"/>
        <w:rPr>
          <w:rFonts w:hint="eastAsia" w:ascii="宋体" w:hAnsi="宋体"/>
          <w:sz w:val="36"/>
          <w:szCs w:val="36"/>
        </w:rPr>
      </w:pPr>
    </w:p>
    <w:p w14:paraId="55192B3C">
      <w:pPr>
        <w:jc w:val="center"/>
        <w:rPr>
          <w:rFonts w:hint="eastAsia" w:ascii="宋体" w:hAnsi="宋体"/>
          <w:sz w:val="36"/>
          <w:szCs w:val="36"/>
        </w:rPr>
      </w:pPr>
    </w:p>
    <w:p w14:paraId="58A50E54">
      <w:pPr>
        <w:jc w:val="center"/>
        <w:rPr>
          <w:rFonts w:hint="eastAsia" w:ascii="宋体" w:hAnsi="宋体"/>
          <w:sz w:val="36"/>
          <w:szCs w:val="36"/>
        </w:rPr>
      </w:pPr>
    </w:p>
    <w:p w14:paraId="1C420032">
      <w:pPr>
        <w:jc w:val="center"/>
        <w:rPr>
          <w:rFonts w:hint="eastAsia" w:ascii="宋体" w:hAnsi="宋体"/>
          <w:sz w:val="36"/>
          <w:szCs w:val="36"/>
        </w:rPr>
      </w:pPr>
    </w:p>
    <w:p w14:paraId="7CE67254">
      <w:pPr>
        <w:jc w:val="center"/>
        <w:rPr>
          <w:rFonts w:hint="eastAsia" w:ascii="宋体" w:hAnsi="宋体"/>
          <w:sz w:val="36"/>
          <w:szCs w:val="36"/>
        </w:rPr>
      </w:pPr>
    </w:p>
    <w:p w14:paraId="18BF8B3C">
      <w:pPr>
        <w:jc w:val="center"/>
        <w:rPr>
          <w:rFonts w:hint="eastAsia" w:ascii="宋体" w:hAnsi="宋体"/>
          <w:b/>
          <w:bCs/>
          <w:sz w:val="28"/>
          <w:szCs w:val="28"/>
        </w:rPr>
      </w:pPr>
    </w:p>
    <w:p w14:paraId="5203E0A9">
      <w:pPr>
        <w:jc w:val="center"/>
        <w:rPr>
          <w:rFonts w:hint="eastAsia" w:ascii="仿宋" w:hAnsi="仿宋" w:eastAsia="仿宋"/>
          <w:b/>
          <w:bCs/>
          <w:sz w:val="28"/>
          <w:szCs w:val="28"/>
        </w:rPr>
      </w:pPr>
      <w:r>
        <w:rPr>
          <w:rFonts w:hint="eastAsia" w:ascii="仿宋" w:hAnsi="仿宋" w:eastAsia="仿宋"/>
          <w:b/>
          <w:bCs/>
          <w:sz w:val="28"/>
          <w:szCs w:val="28"/>
        </w:rPr>
        <w:t>生态环境部环境规划院</w:t>
      </w:r>
    </w:p>
    <w:p w14:paraId="1DA041C2">
      <w:pPr>
        <w:jc w:val="center"/>
        <w:rPr>
          <w:rFonts w:hint="eastAsia" w:ascii="仿宋" w:hAnsi="仿宋" w:eastAsia="仿宋"/>
          <w:b/>
          <w:bCs/>
          <w:sz w:val="28"/>
          <w:szCs w:val="28"/>
        </w:rPr>
      </w:pPr>
      <w:r>
        <w:rPr>
          <w:rFonts w:hint="eastAsia" w:ascii="仿宋" w:hAnsi="仿宋" w:eastAsia="仿宋"/>
          <w:b/>
          <w:bCs/>
          <w:sz w:val="28"/>
          <w:szCs w:val="28"/>
        </w:rPr>
        <w:t>陕西省环境科学研究院</w:t>
      </w:r>
    </w:p>
    <w:p w14:paraId="2A61522C">
      <w:pPr>
        <w:jc w:val="center"/>
        <w:rPr>
          <w:rFonts w:hint="eastAsia" w:ascii="仿宋" w:hAnsi="仿宋" w:eastAsia="仿宋"/>
          <w:b/>
          <w:bCs/>
          <w:sz w:val="28"/>
          <w:szCs w:val="28"/>
        </w:rPr>
      </w:pPr>
      <w:r>
        <w:rPr>
          <w:rFonts w:hint="eastAsia" w:ascii="仿宋" w:hAnsi="仿宋" w:eastAsia="仿宋"/>
          <w:b/>
          <w:bCs/>
          <w:sz w:val="28"/>
          <w:szCs w:val="28"/>
        </w:rPr>
        <w:t>中国地质调查局西安地质调查中心</w:t>
      </w:r>
    </w:p>
    <w:p w14:paraId="7120DE26">
      <w:pPr>
        <w:jc w:val="center"/>
        <w:rPr>
          <w:rFonts w:hint="eastAsia" w:ascii="仿宋" w:hAnsi="仿宋" w:eastAsia="仿宋"/>
          <w:b/>
          <w:bCs/>
          <w:sz w:val="28"/>
          <w:szCs w:val="28"/>
        </w:rPr>
      </w:pPr>
      <w:r>
        <w:rPr>
          <w:rFonts w:hint="eastAsia" w:ascii="仿宋" w:hAnsi="仿宋" w:eastAsia="仿宋"/>
          <w:b/>
          <w:bCs/>
          <w:sz w:val="28"/>
          <w:szCs w:val="28"/>
        </w:rPr>
        <w:t>陕西省中勘环境地质研究中心有限公司</w:t>
      </w:r>
    </w:p>
    <w:p w14:paraId="0AF0581B">
      <w:pPr>
        <w:jc w:val="center"/>
        <w:rPr>
          <w:rFonts w:hint="eastAsia" w:ascii="宋体" w:hAnsi="宋体"/>
          <w:b/>
          <w:bCs/>
          <w:sz w:val="28"/>
          <w:szCs w:val="28"/>
        </w:rPr>
      </w:pPr>
      <w:r>
        <w:rPr>
          <w:rFonts w:hint="eastAsia" w:ascii="仿宋" w:hAnsi="仿宋" w:eastAsia="仿宋"/>
          <w:b/>
          <w:bCs/>
          <w:sz w:val="28"/>
          <w:szCs w:val="28"/>
        </w:rPr>
        <w:t>陕西省水工环地质调查中心</w:t>
      </w:r>
    </w:p>
    <w:p w14:paraId="14B286FF">
      <w:pPr>
        <w:jc w:val="center"/>
        <w:rPr>
          <w:rFonts w:hint="eastAsia" w:ascii="宋体" w:hAnsi="宋体"/>
          <w:b/>
          <w:bCs/>
          <w:sz w:val="28"/>
          <w:szCs w:val="28"/>
        </w:rPr>
      </w:pPr>
    </w:p>
    <w:p w14:paraId="11FADC42">
      <w:pPr>
        <w:spacing w:line="600" w:lineRule="auto"/>
        <w:jc w:val="center"/>
        <w:rPr>
          <w:rFonts w:hint="eastAsia" w:ascii="仿宋" w:hAnsi="仿宋" w:eastAsia="仿宋"/>
          <w:sz w:val="28"/>
          <w:szCs w:val="28"/>
        </w:rPr>
        <w:sectPr>
          <w:footerReference r:id="rId4" w:type="first"/>
          <w:footerReference r:id="rId3" w:type="default"/>
          <w:pgSz w:w="11906" w:h="16838"/>
          <w:pgMar w:top="1440" w:right="1797" w:bottom="1440" w:left="1797" w:header="851" w:footer="992" w:gutter="0"/>
          <w:pgNumType w:start="0"/>
          <w:cols w:space="720" w:num="1"/>
          <w:docGrid w:type="lines" w:linePitch="312" w:charSpace="0"/>
        </w:sectPr>
      </w:pPr>
      <w:r>
        <w:rPr>
          <w:rFonts w:hint="eastAsia" w:ascii="仿宋" w:hAnsi="仿宋" w:eastAsia="仿宋"/>
          <w:sz w:val="28"/>
          <w:szCs w:val="28"/>
        </w:rPr>
        <w:t>二〇二</w:t>
      </w:r>
      <w:r>
        <w:rPr>
          <w:rFonts w:hint="eastAsia" w:ascii="仿宋" w:hAnsi="仿宋" w:eastAsia="仿宋"/>
          <w:sz w:val="28"/>
          <w:szCs w:val="28"/>
          <w:lang w:val="en-US" w:eastAsia="zh-CN"/>
        </w:rPr>
        <w:t>五</w:t>
      </w:r>
      <w:r>
        <w:rPr>
          <w:rFonts w:hint="eastAsia" w:ascii="仿宋" w:hAnsi="仿宋" w:eastAsia="仿宋"/>
          <w:sz w:val="28"/>
          <w:szCs w:val="28"/>
        </w:rPr>
        <w:t>年</w:t>
      </w:r>
      <w:r>
        <w:rPr>
          <w:rFonts w:hint="eastAsia" w:ascii="仿宋" w:hAnsi="仿宋" w:eastAsia="仿宋"/>
          <w:sz w:val="28"/>
          <w:szCs w:val="28"/>
          <w:lang w:val="en-US" w:eastAsia="zh-CN"/>
        </w:rPr>
        <w:t>四</w:t>
      </w:r>
      <w:bookmarkStart w:id="36" w:name="_GoBack"/>
      <w:bookmarkEnd w:id="36"/>
      <w:r>
        <w:rPr>
          <w:rFonts w:hint="eastAsia" w:ascii="仿宋" w:hAnsi="仿宋" w:eastAsia="仿宋"/>
          <w:sz w:val="28"/>
          <w:szCs w:val="28"/>
        </w:rPr>
        <w:t>月</w:t>
      </w:r>
    </w:p>
    <w:p w14:paraId="343EBF61">
      <w:pPr>
        <w:jc w:val="left"/>
        <w:rPr>
          <w:rFonts w:hint="eastAsia" w:ascii="宋体" w:hAnsi="宋体"/>
          <w:b/>
          <w:bCs/>
          <w:sz w:val="28"/>
          <w:szCs w:val="28"/>
        </w:rPr>
      </w:pPr>
    </w:p>
    <w:p w14:paraId="05778835">
      <w:pPr>
        <w:jc w:val="left"/>
        <w:rPr>
          <w:rFonts w:hint="eastAsia" w:ascii="仿宋" w:hAnsi="仿宋" w:eastAsia="仿宋"/>
          <w:b/>
          <w:bCs/>
          <w:sz w:val="28"/>
          <w:szCs w:val="28"/>
        </w:rPr>
      </w:pPr>
      <w:r>
        <w:rPr>
          <w:rFonts w:hint="eastAsia" w:ascii="仿宋" w:hAnsi="仿宋" w:eastAsia="仿宋"/>
          <w:b/>
          <w:bCs/>
          <w:sz w:val="28"/>
          <w:szCs w:val="28"/>
        </w:rPr>
        <w:t>标准名称：</w:t>
      </w:r>
      <w:r>
        <w:rPr>
          <w:rFonts w:hint="eastAsia" w:ascii="仿宋" w:hAnsi="仿宋" w:eastAsia="仿宋"/>
          <w:sz w:val="28"/>
          <w:szCs w:val="28"/>
        </w:rPr>
        <w:t>《涉重金属矿山环境污染防治技术指南 第4部分：分区风险评估及防控策略》</w:t>
      </w:r>
    </w:p>
    <w:p w14:paraId="55B11D4A">
      <w:pPr>
        <w:jc w:val="left"/>
        <w:rPr>
          <w:rFonts w:hint="eastAsia" w:ascii="仿宋" w:hAnsi="仿宋" w:eastAsia="仿宋"/>
          <w:b/>
          <w:bCs/>
          <w:sz w:val="28"/>
          <w:szCs w:val="28"/>
        </w:rPr>
      </w:pPr>
      <w:r>
        <w:rPr>
          <w:rFonts w:hint="eastAsia" w:ascii="仿宋" w:hAnsi="仿宋" w:eastAsia="仿宋"/>
          <w:b/>
          <w:bCs/>
          <w:sz w:val="28"/>
          <w:szCs w:val="28"/>
        </w:rPr>
        <w:t>立项编号：</w:t>
      </w:r>
      <w:r>
        <w:rPr>
          <w:rFonts w:ascii="仿宋" w:hAnsi="仿宋" w:eastAsia="仿宋"/>
          <w:sz w:val="28"/>
          <w:szCs w:val="28"/>
        </w:rPr>
        <w:t>SDBXM 0</w:t>
      </w:r>
      <w:r>
        <w:rPr>
          <w:rFonts w:hint="eastAsia" w:ascii="仿宋" w:hAnsi="仿宋" w:eastAsia="仿宋"/>
          <w:sz w:val="28"/>
          <w:szCs w:val="28"/>
        </w:rPr>
        <w:t>11</w:t>
      </w:r>
      <w:r>
        <w:rPr>
          <w:rFonts w:ascii="仿宋" w:hAnsi="仿宋" w:eastAsia="仿宋"/>
          <w:sz w:val="28"/>
          <w:szCs w:val="28"/>
        </w:rPr>
        <w:t>-2024</w:t>
      </w:r>
    </w:p>
    <w:p w14:paraId="2C454473">
      <w:pPr>
        <w:jc w:val="left"/>
        <w:rPr>
          <w:rFonts w:hint="eastAsia" w:ascii="仿宋" w:hAnsi="仿宋" w:eastAsia="仿宋"/>
          <w:b/>
          <w:bCs/>
          <w:sz w:val="28"/>
          <w:szCs w:val="28"/>
        </w:rPr>
      </w:pPr>
      <w:r>
        <w:rPr>
          <w:rFonts w:hint="eastAsia" w:ascii="仿宋" w:hAnsi="仿宋" w:eastAsia="仿宋"/>
          <w:b/>
          <w:bCs/>
          <w:sz w:val="28"/>
          <w:szCs w:val="28"/>
        </w:rPr>
        <w:t>起草单位：</w:t>
      </w:r>
      <w:r>
        <w:rPr>
          <w:rFonts w:hint="eastAsia" w:ascii="仿宋" w:hAnsi="仿宋" w:eastAsia="仿宋"/>
          <w:sz w:val="28"/>
          <w:szCs w:val="28"/>
        </w:rPr>
        <w:t>生态环境部环境规划院、陕西省环境科学研究院、中国地质调查局西安地质调查中心、陕西省中勘环境地质研究中心有限公司、陕西省水工环地质调查中心</w:t>
      </w:r>
    </w:p>
    <w:p w14:paraId="6F96D010">
      <w:pPr>
        <w:jc w:val="left"/>
        <w:rPr>
          <w:rFonts w:hint="eastAsia" w:ascii="仿宋" w:hAnsi="仿宋" w:eastAsia="仿宋"/>
          <w:sz w:val="28"/>
          <w:szCs w:val="28"/>
        </w:rPr>
      </w:pPr>
      <w:r>
        <w:rPr>
          <w:rFonts w:hint="eastAsia" w:ascii="仿宋" w:hAnsi="仿宋" w:eastAsia="仿宋"/>
          <w:b/>
          <w:bCs/>
          <w:sz w:val="28"/>
          <w:szCs w:val="28"/>
        </w:rPr>
        <w:t>主要起草人：</w:t>
      </w:r>
      <w:r>
        <w:rPr>
          <w:rFonts w:hint="eastAsia" w:ascii="仿宋" w:hAnsi="仿宋" w:eastAsia="仿宋"/>
          <w:sz w:val="28"/>
          <w:szCs w:val="28"/>
        </w:rPr>
        <w:t>张宗文、张黎明、吴金文、孙宁、孙长顺、徐友宁、乔雄彪、邹天远、芦红、彭小红、陈华清、马晓炜、闫江涛、杨承华、周夏飞、张战胜、杨克俭、彭渊哲、张培栋、党学亚、谢金艳</w:t>
      </w:r>
    </w:p>
    <w:p w14:paraId="59FFD473">
      <w:pPr>
        <w:jc w:val="left"/>
        <w:rPr>
          <w:rFonts w:hint="eastAsia" w:ascii="仿宋" w:hAnsi="仿宋" w:eastAsia="仿宋"/>
          <w:b/>
          <w:bCs/>
          <w:sz w:val="28"/>
          <w:szCs w:val="28"/>
        </w:rPr>
      </w:pPr>
      <w:r>
        <w:rPr>
          <w:rFonts w:hint="eastAsia" w:ascii="仿宋" w:hAnsi="仿宋" w:eastAsia="仿宋"/>
          <w:b/>
          <w:bCs/>
          <w:sz w:val="28"/>
          <w:szCs w:val="28"/>
        </w:rPr>
        <w:t>标准负责人：</w:t>
      </w:r>
      <w:r>
        <w:rPr>
          <w:rFonts w:hint="eastAsia" w:ascii="仿宋" w:hAnsi="仿宋" w:eastAsia="仿宋"/>
          <w:sz w:val="28"/>
          <w:szCs w:val="28"/>
        </w:rPr>
        <w:t>张宗文</w:t>
      </w:r>
    </w:p>
    <w:p w14:paraId="74F9F7E7">
      <w:pPr>
        <w:jc w:val="left"/>
        <w:rPr>
          <w:rFonts w:hint="eastAsia" w:ascii="宋体" w:hAnsi="宋体"/>
          <w:b/>
          <w:bCs/>
          <w:sz w:val="28"/>
          <w:szCs w:val="28"/>
        </w:rPr>
        <w:sectPr>
          <w:pgSz w:w="11906" w:h="16838"/>
          <w:pgMar w:top="1440" w:right="1797" w:bottom="1440" w:left="1797" w:header="851" w:footer="992" w:gutter="0"/>
          <w:pgNumType w:start="0"/>
          <w:cols w:space="720" w:num="1"/>
          <w:docGrid w:type="lines" w:linePitch="312" w:charSpace="0"/>
        </w:sectPr>
      </w:pPr>
    </w:p>
    <w:p w14:paraId="029AFA51">
      <w:pPr>
        <w:pStyle w:val="2"/>
        <w:spacing w:before="78" w:beforeLines="25" w:after="78" w:afterLines="25" w:line="360" w:lineRule="exact"/>
        <w:jc w:val="center"/>
        <w:rPr>
          <w:rFonts w:eastAsia="仿宋"/>
        </w:rPr>
      </w:pPr>
      <w:bookmarkStart w:id="0" w:name="_Toc50471952"/>
      <w:bookmarkStart w:id="1" w:name="_Toc42346116"/>
      <w:bookmarkStart w:id="2" w:name="_Toc42346183"/>
      <w:bookmarkStart w:id="3" w:name="_Toc77689717"/>
      <w:bookmarkStart w:id="4" w:name="_Toc182602784"/>
      <w:bookmarkStart w:id="5" w:name="_Toc42343219"/>
      <w:bookmarkStart w:id="6" w:name="_Toc194590177"/>
      <w:bookmarkStart w:id="7" w:name="_Toc182954010"/>
      <w:bookmarkStart w:id="8" w:name="_Toc193199840"/>
      <w:bookmarkStart w:id="9" w:name="_Toc103003552"/>
      <w:bookmarkStart w:id="10" w:name="_Toc172626960"/>
      <w:bookmarkStart w:id="11" w:name="_Toc182602719"/>
      <w:bookmarkStart w:id="12" w:name="_Toc161847700"/>
      <w:bookmarkStart w:id="13" w:name="_Toc184131902"/>
      <w:bookmarkStart w:id="14" w:name="_Toc184075322"/>
      <w:r>
        <w:rPr>
          <w:rFonts w:hint="eastAsia" w:ascii="宋体" w:hAnsi="宋体"/>
          <w:b w:val="0"/>
          <w:szCs w:val="32"/>
        </w:rPr>
        <w:t>目</w:t>
      </w:r>
      <w:r>
        <w:rPr>
          <w:rFonts w:ascii="宋体" w:hAnsi="宋体"/>
          <w:b w:val="0"/>
          <w:szCs w:val="32"/>
        </w:rPr>
        <w:t xml:space="preserve">  </w:t>
      </w:r>
      <w:r>
        <w:rPr>
          <w:rFonts w:hint="eastAsia" w:ascii="宋体" w:hAnsi="宋体"/>
          <w:b w:val="0"/>
          <w:szCs w:val="32"/>
        </w:rPr>
        <w:t>次</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r>
        <w:rPr>
          <w:rFonts w:ascii="宋体" w:hAnsi="宋体"/>
          <w:sz w:val="28"/>
          <w:szCs w:val="28"/>
        </w:rPr>
        <w:fldChar w:fldCharType="begin"/>
      </w:r>
      <w:r>
        <w:rPr>
          <w:rFonts w:ascii="宋体" w:hAnsi="宋体"/>
          <w:sz w:val="28"/>
          <w:szCs w:val="28"/>
        </w:rPr>
        <w:instrText xml:space="preserve"> TOC \o "1-2" \h \z \u </w:instrText>
      </w:r>
      <w:r>
        <w:rPr>
          <w:rFonts w:ascii="宋体" w:hAnsi="宋体"/>
          <w:sz w:val="28"/>
          <w:szCs w:val="28"/>
        </w:rPr>
        <w:fldChar w:fldCharType="separate"/>
      </w:r>
    </w:p>
    <w:p w14:paraId="1D6D8C49">
      <w:pPr>
        <w:pStyle w:val="23"/>
        <w:tabs>
          <w:tab w:val="right" w:leader="dot" w:pos="8302"/>
        </w:tabs>
        <w:spacing w:line="360" w:lineRule="exact"/>
        <w:rPr>
          <w:rFonts w:eastAsia="仿宋"/>
          <w:kern w:val="2"/>
          <w:szCs w:val="24"/>
          <w14:ligatures w14:val="standardContextual"/>
        </w:rPr>
      </w:pPr>
      <w:r>
        <w:fldChar w:fldCharType="begin"/>
      </w:r>
      <w:r>
        <w:instrText xml:space="preserve"> HYPERLINK \l "_Toc194590178" </w:instrText>
      </w:r>
      <w:r>
        <w:fldChar w:fldCharType="separate"/>
      </w:r>
      <w:r>
        <w:rPr>
          <w:rStyle w:val="35"/>
          <w:rFonts w:eastAsia="仿宋"/>
        </w:rPr>
        <w:t>一、工作简况</w:t>
      </w:r>
      <w:r>
        <w:rPr>
          <w:rFonts w:eastAsia="仿宋"/>
        </w:rPr>
        <w:tab/>
      </w:r>
      <w:r>
        <w:rPr>
          <w:rFonts w:eastAsia="仿宋"/>
        </w:rPr>
        <w:fldChar w:fldCharType="begin"/>
      </w:r>
      <w:r>
        <w:rPr>
          <w:rFonts w:eastAsia="仿宋"/>
        </w:rPr>
        <w:instrText xml:space="preserve"> PAGEREF _Toc194590178 \h </w:instrText>
      </w:r>
      <w:r>
        <w:rPr>
          <w:rFonts w:eastAsia="仿宋"/>
        </w:rPr>
        <w:fldChar w:fldCharType="separate"/>
      </w:r>
      <w:r>
        <w:rPr>
          <w:rFonts w:eastAsia="仿宋"/>
        </w:rPr>
        <w:t>1</w:t>
      </w:r>
      <w:r>
        <w:rPr>
          <w:rFonts w:eastAsia="仿宋"/>
        </w:rPr>
        <w:fldChar w:fldCharType="end"/>
      </w:r>
      <w:r>
        <w:rPr>
          <w:rFonts w:eastAsia="仿宋"/>
        </w:rPr>
        <w:fldChar w:fldCharType="end"/>
      </w:r>
    </w:p>
    <w:p w14:paraId="0EAB9DBF">
      <w:pPr>
        <w:pStyle w:val="26"/>
        <w:tabs>
          <w:tab w:val="right" w:leader="dot" w:pos="8302"/>
        </w:tabs>
        <w:spacing w:line="360" w:lineRule="exact"/>
        <w:rPr>
          <w:rFonts w:eastAsia="仿宋"/>
          <w:kern w:val="2"/>
          <w:szCs w:val="24"/>
          <w14:ligatures w14:val="standardContextual"/>
        </w:rPr>
      </w:pPr>
      <w:r>
        <w:fldChar w:fldCharType="begin"/>
      </w:r>
      <w:r>
        <w:instrText xml:space="preserve"> HYPERLINK \l "_Toc194590179" </w:instrText>
      </w:r>
      <w:r>
        <w:fldChar w:fldCharType="separate"/>
      </w:r>
      <w:r>
        <w:rPr>
          <w:rStyle w:val="35"/>
          <w:rFonts w:eastAsia="仿宋"/>
        </w:rPr>
        <w:t>（一）任务来源</w:t>
      </w:r>
      <w:r>
        <w:rPr>
          <w:rFonts w:eastAsia="仿宋"/>
        </w:rPr>
        <w:tab/>
      </w:r>
      <w:r>
        <w:rPr>
          <w:rFonts w:eastAsia="仿宋"/>
        </w:rPr>
        <w:fldChar w:fldCharType="begin"/>
      </w:r>
      <w:r>
        <w:rPr>
          <w:rFonts w:eastAsia="仿宋"/>
        </w:rPr>
        <w:instrText xml:space="preserve"> PAGEREF _Toc194590179 \h </w:instrText>
      </w:r>
      <w:r>
        <w:rPr>
          <w:rFonts w:eastAsia="仿宋"/>
        </w:rPr>
        <w:fldChar w:fldCharType="separate"/>
      </w:r>
      <w:r>
        <w:rPr>
          <w:rFonts w:eastAsia="仿宋"/>
        </w:rPr>
        <w:t>1</w:t>
      </w:r>
      <w:r>
        <w:rPr>
          <w:rFonts w:eastAsia="仿宋"/>
        </w:rPr>
        <w:fldChar w:fldCharType="end"/>
      </w:r>
      <w:r>
        <w:rPr>
          <w:rFonts w:eastAsia="仿宋"/>
        </w:rPr>
        <w:fldChar w:fldCharType="end"/>
      </w:r>
    </w:p>
    <w:p w14:paraId="68CF57F7">
      <w:pPr>
        <w:pStyle w:val="26"/>
        <w:tabs>
          <w:tab w:val="right" w:leader="dot" w:pos="8302"/>
        </w:tabs>
        <w:spacing w:line="360" w:lineRule="exact"/>
        <w:rPr>
          <w:rFonts w:eastAsia="仿宋"/>
          <w:kern w:val="2"/>
          <w:szCs w:val="24"/>
          <w14:ligatures w14:val="standardContextual"/>
        </w:rPr>
      </w:pPr>
      <w:r>
        <w:fldChar w:fldCharType="begin"/>
      </w:r>
      <w:r>
        <w:instrText xml:space="preserve"> HYPERLINK \l "_Toc194590180" </w:instrText>
      </w:r>
      <w:r>
        <w:fldChar w:fldCharType="separate"/>
      </w:r>
      <w:r>
        <w:rPr>
          <w:rStyle w:val="35"/>
          <w:rFonts w:eastAsia="仿宋"/>
        </w:rPr>
        <w:t>（二）编制目的与意义</w:t>
      </w:r>
      <w:r>
        <w:rPr>
          <w:rFonts w:eastAsia="仿宋"/>
        </w:rPr>
        <w:tab/>
      </w:r>
      <w:r>
        <w:rPr>
          <w:rFonts w:eastAsia="仿宋"/>
        </w:rPr>
        <w:fldChar w:fldCharType="begin"/>
      </w:r>
      <w:r>
        <w:rPr>
          <w:rFonts w:eastAsia="仿宋"/>
        </w:rPr>
        <w:instrText xml:space="preserve"> PAGEREF _Toc194590180 \h </w:instrText>
      </w:r>
      <w:r>
        <w:rPr>
          <w:rFonts w:eastAsia="仿宋"/>
        </w:rPr>
        <w:fldChar w:fldCharType="separate"/>
      </w:r>
      <w:r>
        <w:rPr>
          <w:rFonts w:eastAsia="仿宋"/>
        </w:rPr>
        <w:t>2</w:t>
      </w:r>
      <w:r>
        <w:rPr>
          <w:rFonts w:eastAsia="仿宋"/>
        </w:rPr>
        <w:fldChar w:fldCharType="end"/>
      </w:r>
      <w:r>
        <w:rPr>
          <w:rFonts w:eastAsia="仿宋"/>
        </w:rPr>
        <w:fldChar w:fldCharType="end"/>
      </w:r>
    </w:p>
    <w:p w14:paraId="756E85AE">
      <w:pPr>
        <w:pStyle w:val="26"/>
        <w:tabs>
          <w:tab w:val="right" w:leader="dot" w:pos="8302"/>
        </w:tabs>
        <w:spacing w:line="360" w:lineRule="exact"/>
        <w:rPr>
          <w:rFonts w:eastAsia="仿宋"/>
          <w:kern w:val="2"/>
          <w:szCs w:val="24"/>
          <w14:ligatures w14:val="standardContextual"/>
        </w:rPr>
      </w:pPr>
      <w:r>
        <w:fldChar w:fldCharType="begin"/>
      </w:r>
      <w:r>
        <w:instrText xml:space="preserve"> HYPERLINK \l "_Toc194590181" </w:instrText>
      </w:r>
      <w:r>
        <w:fldChar w:fldCharType="separate"/>
      </w:r>
      <w:r>
        <w:rPr>
          <w:rStyle w:val="35"/>
          <w:rFonts w:eastAsia="仿宋"/>
        </w:rPr>
        <w:t>（三）编制单位和主要编制人员</w:t>
      </w:r>
      <w:r>
        <w:rPr>
          <w:rFonts w:eastAsia="仿宋"/>
        </w:rPr>
        <w:tab/>
      </w:r>
      <w:r>
        <w:rPr>
          <w:rFonts w:eastAsia="仿宋"/>
        </w:rPr>
        <w:fldChar w:fldCharType="begin"/>
      </w:r>
      <w:r>
        <w:rPr>
          <w:rFonts w:eastAsia="仿宋"/>
        </w:rPr>
        <w:instrText xml:space="preserve"> PAGEREF _Toc194590181 \h </w:instrText>
      </w:r>
      <w:r>
        <w:rPr>
          <w:rFonts w:eastAsia="仿宋"/>
        </w:rPr>
        <w:fldChar w:fldCharType="separate"/>
      </w:r>
      <w:r>
        <w:rPr>
          <w:rFonts w:eastAsia="仿宋"/>
        </w:rPr>
        <w:t>5</w:t>
      </w:r>
      <w:r>
        <w:rPr>
          <w:rFonts w:eastAsia="仿宋"/>
        </w:rPr>
        <w:fldChar w:fldCharType="end"/>
      </w:r>
      <w:r>
        <w:rPr>
          <w:rFonts w:eastAsia="仿宋"/>
        </w:rPr>
        <w:fldChar w:fldCharType="end"/>
      </w:r>
    </w:p>
    <w:p w14:paraId="2C0B5415">
      <w:pPr>
        <w:pStyle w:val="26"/>
        <w:tabs>
          <w:tab w:val="right" w:leader="dot" w:pos="8302"/>
        </w:tabs>
        <w:spacing w:line="360" w:lineRule="exact"/>
        <w:rPr>
          <w:rFonts w:eastAsia="仿宋"/>
          <w:kern w:val="2"/>
          <w:szCs w:val="24"/>
          <w14:ligatures w14:val="standardContextual"/>
        </w:rPr>
      </w:pPr>
      <w:r>
        <w:fldChar w:fldCharType="begin"/>
      </w:r>
      <w:r>
        <w:instrText xml:space="preserve"> HYPERLINK \l "_Toc194590182" </w:instrText>
      </w:r>
      <w:r>
        <w:fldChar w:fldCharType="separate"/>
      </w:r>
      <w:r>
        <w:rPr>
          <w:rStyle w:val="35"/>
          <w:rFonts w:eastAsia="仿宋"/>
        </w:rPr>
        <w:t>（四）主要工作过程</w:t>
      </w:r>
      <w:r>
        <w:rPr>
          <w:rFonts w:eastAsia="仿宋"/>
        </w:rPr>
        <w:tab/>
      </w:r>
      <w:r>
        <w:rPr>
          <w:rFonts w:eastAsia="仿宋"/>
        </w:rPr>
        <w:fldChar w:fldCharType="begin"/>
      </w:r>
      <w:r>
        <w:rPr>
          <w:rFonts w:eastAsia="仿宋"/>
        </w:rPr>
        <w:instrText xml:space="preserve"> PAGEREF _Toc194590182 \h </w:instrText>
      </w:r>
      <w:r>
        <w:rPr>
          <w:rFonts w:eastAsia="仿宋"/>
        </w:rPr>
        <w:fldChar w:fldCharType="separate"/>
      </w:r>
      <w:r>
        <w:rPr>
          <w:rFonts w:eastAsia="仿宋"/>
        </w:rPr>
        <w:t>5</w:t>
      </w:r>
      <w:r>
        <w:rPr>
          <w:rFonts w:eastAsia="仿宋"/>
        </w:rPr>
        <w:fldChar w:fldCharType="end"/>
      </w:r>
      <w:r>
        <w:rPr>
          <w:rFonts w:eastAsia="仿宋"/>
        </w:rPr>
        <w:fldChar w:fldCharType="end"/>
      </w:r>
    </w:p>
    <w:p w14:paraId="49A56473">
      <w:pPr>
        <w:pStyle w:val="23"/>
        <w:tabs>
          <w:tab w:val="right" w:leader="dot" w:pos="8302"/>
        </w:tabs>
        <w:spacing w:line="360" w:lineRule="exact"/>
        <w:rPr>
          <w:rFonts w:eastAsia="仿宋"/>
          <w:kern w:val="2"/>
          <w:szCs w:val="24"/>
          <w14:ligatures w14:val="standardContextual"/>
        </w:rPr>
      </w:pPr>
      <w:r>
        <w:fldChar w:fldCharType="begin"/>
      </w:r>
      <w:r>
        <w:instrText xml:space="preserve"> HYPERLINK \l "_Toc194590183" </w:instrText>
      </w:r>
      <w:r>
        <w:fldChar w:fldCharType="separate"/>
      </w:r>
      <w:r>
        <w:rPr>
          <w:rStyle w:val="35"/>
          <w:rFonts w:eastAsia="仿宋"/>
        </w:rPr>
        <w:t>二、陕西省涉金属矿山环境污染现状和特点分析</w:t>
      </w:r>
      <w:r>
        <w:rPr>
          <w:rFonts w:eastAsia="仿宋"/>
        </w:rPr>
        <w:tab/>
      </w:r>
      <w:r>
        <w:rPr>
          <w:rFonts w:eastAsia="仿宋"/>
        </w:rPr>
        <w:fldChar w:fldCharType="begin"/>
      </w:r>
      <w:r>
        <w:rPr>
          <w:rFonts w:eastAsia="仿宋"/>
        </w:rPr>
        <w:instrText xml:space="preserve"> PAGEREF _Toc194590183 \h </w:instrText>
      </w:r>
      <w:r>
        <w:rPr>
          <w:rFonts w:eastAsia="仿宋"/>
        </w:rPr>
        <w:fldChar w:fldCharType="separate"/>
      </w:r>
      <w:r>
        <w:rPr>
          <w:rFonts w:eastAsia="仿宋"/>
        </w:rPr>
        <w:t>7</w:t>
      </w:r>
      <w:r>
        <w:rPr>
          <w:rFonts w:eastAsia="仿宋"/>
        </w:rPr>
        <w:fldChar w:fldCharType="end"/>
      </w:r>
      <w:r>
        <w:rPr>
          <w:rFonts w:eastAsia="仿宋"/>
        </w:rPr>
        <w:fldChar w:fldCharType="end"/>
      </w:r>
    </w:p>
    <w:p w14:paraId="690B59CE">
      <w:pPr>
        <w:pStyle w:val="23"/>
        <w:tabs>
          <w:tab w:val="right" w:leader="dot" w:pos="8302"/>
        </w:tabs>
        <w:spacing w:line="360" w:lineRule="exact"/>
        <w:rPr>
          <w:rFonts w:eastAsia="仿宋"/>
          <w:kern w:val="2"/>
          <w:szCs w:val="24"/>
          <w14:ligatures w14:val="standardContextual"/>
        </w:rPr>
      </w:pPr>
      <w:r>
        <w:fldChar w:fldCharType="begin"/>
      </w:r>
      <w:r>
        <w:instrText xml:space="preserve"> HYPERLINK \l "_Toc194590184" </w:instrText>
      </w:r>
      <w:r>
        <w:fldChar w:fldCharType="separate"/>
      </w:r>
      <w:r>
        <w:rPr>
          <w:rStyle w:val="35"/>
          <w:rFonts w:eastAsia="仿宋"/>
        </w:rPr>
        <w:t>三、风险评估技术方法现状分析</w:t>
      </w:r>
      <w:r>
        <w:rPr>
          <w:rFonts w:eastAsia="仿宋"/>
        </w:rPr>
        <w:tab/>
      </w:r>
      <w:r>
        <w:rPr>
          <w:rFonts w:eastAsia="仿宋"/>
        </w:rPr>
        <w:fldChar w:fldCharType="begin"/>
      </w:r>
      <w:r>
        <w:rPr>
          <w:rFonts w:eastAsia="仿宋"/>
        </w:rPr>
        <w:instrText xml:space="preserve"> PAGEREF _Toc194590184 \h </w:instrText>
      </w:r>
      <w:r>
        <w:rPr>
          <w:rFonts w:eastAsia="仿宋"/>
        </w:rPr>
        <w:fldChar w:fldCharType="separate"/>
      </w:r>
      <w:r>
        <w:rPr>
          <w:rFonts w:eastAsia="仿宋"/>
        </w:rPr>
        <w:t>8</w:t>
      </w:r>
      <w:r>
        <w:rPr>
          <w:rFonts w:eastAsia="仿宋"/>
        </w:rPr>
        <w:fldChar w:fldCharType="end"/>
      </w:r>
      <w:r>
        <w:rPr>
          <w:rFonts w:eastAsia="仿宋"/>
        </w:rPr>
        <w:fldChar w:fldCharType="end"/>
      </w:r>
    </w:p>
    <w:p w14:paraId="73811F5B">
      <w:pPr>
        <w:pStyle w:val="26"/>
        <w:tabs>
          <w:tab w:val="right" w:leader="dot" w:pos="8302"/>
        </w:tabs>
        <w:spacing w:line="360" w:lineRule="exact"/>
        <w:rPr>
          <w:rFonts w:eastAsia="仿宋"/>
          <w:kern w:val="2"/>
          <w:szCs w:val="24"/>
          <w14:ligatures w14:val="standardContextual"/>
        </w:rPr>
      </w:pPr>
      <w:r>
        <w:fldChar w:fldCharType="begin"/>
      </w:r>
      <w:r>
        <w:instrText xml:space="preserve"> HYPERLINK \l "_Toc194590185" </w:instrText>
      </w:r>
      <w:r>
        <w:fldChar w:fldCharType="separate"/>
      </w:r>
      <w:r>
        <w:rPr>
          <w:rStyle w:val="35"/>
          <w:rFonts w:eastAsia="仿宋"/>
        </w:rPr>
        <w:t>（一）风险评估三要素</w:t>
      </w:r>
      <w:r>
        <w:rPr>
          <w:rFonts w:eastAsia="仿宋"/>
        </w:rPr>
        <w:tab/>
      </w:r>
      <w:r>
        <w:rPr>
          <w:rFonts w:eastAsia="仿宋"/>
        </w:rPr>
        <w:fldChar w:fldCharType="begin"/>
      </w:r>
      <w:r>
        <w:rPr>
          <w:rFonts w:eastAsia="仿宋"/>
        </w:rPr>
        <w:instrText xml:space="preserve"> PAGEREF _Toc194590185 \h </w:instrText>
      </w:r>
      <w:r>
        <w:rPr>
          <w:rFonts w:eastAsia="仿宋"/>
        </w:rPr>
        <w:fldChar w:fldCharType="separate"/>
      </w:r>
      <w:r>
        <w:rPr>
          <w:rFonts w:eastAsia="仿宋"/>
        </w:rPr>
        <w:t>8</w:t>
      </w:r>
      <w:r>
        <w:rPr>
          <w:rFonts w:eastAsia="仿宋"/>
        </w:rPr>
        <w:fldChar w:fldCharType="end"/>
      </w:r>
      <w:r>
        <w:rPr>
          <w:rFonts w:eastAsia="仿宋"/>
        </w:rPr>
        <w:fldChar w:fldCharType="end"/>
      </w:r>
    </w:p>
    <w:p w14:paraId="3B9CD900">
      <w:pPr>
        <w:pStyle w:val="26"/>
        <w:tabs>
          <w:tab w:val="right" w:leader="dot" w:pos="8302"/>
        </w:tabs>
        <w:spacing w:line="360" w:lineRule="exact"/>
        <w:rPr>
          <w:rFonts w:eastAsia="仿宋"/>
          <w:kern w:val="2"/>
          <w:szCs w:val="24"/>
          <w14:ligatures w14:val="standardContextual"/>
        </w:rPr>
      </w:pPr>
      <w:r>
        <w:fldChar w:fldCharType="begin"/>
      </w:r>
      <w:r>
        <w:instrText xml:space="preserve"> HYPERLINK \l "_Toc194590186" </w:instrText>
      </w:r>
      <w:r>
        <w:fldChar w:fldCharType="separate"/>
      </w:r>
      <w:r>
        <w:rPr>
          <w:rStyle w:val="35"/>
          <w:rFonts w:eastAsia="仿宋"/>
        </w:rPr>
        <w:t>（二）国外风险评估发展现状</w:t>
      </w:r>
      <w:r>
        <w:rPr>
          <w:rFonts w:eastAsia="仿宋"/>
        </w:rPr>
        <w:tab/>
      </w:r>
      <w:r>
        <w:rPr>
          <w:rFonts w:eastAsia="仿宋"/>
        </w:rPr>
        <w:fldChar w:fldCharType="begin"/>
      </w:r>
      <w:r>
        <w:rPr>
          <w:rFonts w:eastAsia="仿宋"/>
        </w:rPr>
        <w:instrText xml:space="preserve"> PAGEREF _Toc194590186 \h </w:instrText>
      </w:r>
      <w:r>
        <w:rPr>
          <w:rFonts w:eastAsia="仿宋"/>
        </w:rPr>
        <w:fldChar w:fldCharType="separate"/>
      </w:r>
      <w:r>
        <w:rPr>
          <w:rFonts w:eastAsia="仿宋"/>
        </w:rPr>
        <w:t>8</w:t>
      </w:r>
      <w:r>
        <w:rPr>
          <w:rFonts w:eastAsia="仿宋"/>
        </w:rPr>
        <w:fldChar w:fldCharType="end"/>
      </w:r>
      <w:r>
        <w:rPr>
          <w:rFonts w:eastAsia="仿宋"/>
        </w:rPr>
        <w:fldChar w:fldCharType="end"/>
      </w:r>
    </w:p>
    <w:p w14:paraId="0B3DA10E">
      <w:pPr>
        <w:pStyle w:val="26"/>
        <w:tabs>
          <w:tab w:val="right" w:leader="dot" w:pos="8302"/>
        </w:tabs>
        <w:spacing w:line="360" w:lineRule="exact"/>
        <w:rPr>
          <w:rFonts w:eastAsia="仿宋"/>
          <w:kern w:val="2"/>
          <w:szCs w:val="24"/>
          <w14:ligatures w14:val="standardContextual"/>
        </w:rPr>
      </w:pPr>
      <w:r>
        <w:fldChar w:fldCharType="begin"/>
      </w:r>
      <w:r>
        <w:instrText xml:space="preserve"> HYPERLINK \l "_Toc194590187" </w:instrText>
      </w:r>
      <w:r>
        <w:fldChar w:fldCharType="separate"/>
      </w:r>
      <w:r>
        <w:rPr>
          <w:rStyle w:val="35"/>
          <w:rFonts w:eastAsia="仿宋"/>
        </w:rPr>
        <w:t>（三）国内发展现状</w:t>
      </w:r>
      <w:r>
        <w:rPr>
          <w:rFonts w:eastAsia="仿宋"/>
        </w:rPr>
        <w:tab/>
      </w:r>
      <w:r>
        <w:rPr>
          <w:rFonts w:eastAsia="仿宋"/>
        </w:rPr>
        <w:fldChar w:fldCharType="begin"/>
      </w:r>
      <w:r>
        <w:rPr>
          <w:rFonts w:eastAsia="仿宋"/>
        </w:rPr>
        <w:instrText xml:space="preserve"> PAGEREF _Toc194590187 \h </w:instrText>
      </w:r>
      <w:r>
        <w:rPr>
          <w:rFonts w:eastAsia="仿宋"/>
        </w:rPr>
        <w:fldChar w:fldCharType="separate"/>
      </w:r>
      <w:r>
        <w:rPr>
          <w:rFonts w:eastAsia="仿宋"/>
        </w:rPr>
        <w:t>10</w:t>
      </w:r>
      <w:r>
        <w:rPr>
          <w:rFonts w:eastAsia="仿宋"/>
        </w:rPr>
        <w:fldChar w:fldCharType="end"/>
      </w:r>
      <w:r>
        <w:rPr>
          <w:rFonts w:eastAsia="仿宋"/>
        </w:rPr>
        <w:fldChar w:fldCharType="end"/>
      </w:r>
    </w:p>
    <w:p w14:paraId="56585792">
      <w:pPr>
        <w:pStyle w:val="23"/>
        <w:tabs>
          <w:tab w:val="right" w:leader="dot" w:pos="8302"/>
        </w:tabs>
        <w:spacing w:line="360" w:lineRule="exact"/>
        <w:rPr>
          <w:rFonts w:eastAsia="仿宋"/>
          <w:kern w:val="2"/>
          <w:szCs w:val="24"/>
          <w14:ligatures w14:val="standardContextual"/>
        </w:rPr>
      </w:pPr>
      <w:r>
        <w:fldChar w:fldCharType="begin"/>
      </w:r>
      <w:r>
        <w:instrText xml:space="preserve"> HYPERLINK \l "_Toc194590188" </w:instrText>
      </w:r>
      <w:r>
        <w:fldChar w:fldCharType="separate"/>
      </w:r>
      <w:r>
        <w:rPr>
          <w:rStyle w:val="35"/>
          <w:rFonts w:eastAsia="仿宋"/>
        </w:rPr>
        <w:t>四、编制原则和主要内容分析</w:t>
      </w:r>
      <w:r>
        <w:rPr>
          <w:rFonts w:eastAsia="仿宋"/>
        </w:rPr>
        <w:tab/>
      </w:r>
      <w:r>
        <w:rPr>
          <w:rFonts w:eastAsia="仿宋"/>
        </w:rPr>
        <w:fldChar w:fldCharType="begin"/>
      </w:r>
      <w:r>
        <w:rPr>
          <w:rFonts w:eastAsia="仿宋"/>
        </w:rPr>
        <w:instrText xml:space="preserve"> PAGEREF _Toc194590188 \h </w:instrText>
      </w:r>
      <w:r>
        <w:rPr>
          <w:rFonts w:eastAsia="仿宋"/>
        </w:rPr>
        <w:fldChar w:fldCharType="separate"/>
      </w:r>
      <w:r>
        <w:rPr>
          <w:rFonts w:eastAsia="仿宋"/>
        </w:rPr>
        <w:t>14</w:t>
      </w:r>
      <w:r>
        <w:rPr>
          <w:rFonts w:eastAsia="仿宋"/>
        </w:rPr>
        <w:fldChar w:fldCharType="end"/>
      </w:r>
      <w:r>
        <w:rPr>
          <w:rFonts w:eastAsia="仿宋"/>
        </w:rPr>
        <w:fldChar w:fldCharType="end"/>
      </w:r>
    </w:p>
    <w:p w14:paraId="162472CE">
      <w:pPr>
        <w:pStyle w:val="26"/>
        <w:tabs>
          <w:tab w:val="right" w:leader="dot" w:pos="8302"/>
        </w:tabs>
        <w:spacing w:line="360" w:lineRule="exact"/>
        <w:rPr>
          <w:rFonts w:eastAsia="仿宋"/>
          <w:kern w:val="2"/>
          <w:szCs w:val="24"/>
          <w14:ligatures w14:val="standardContextual"/>
        </w:rPr>
      </w:pPr>
      <w:r>
        <w:fldChar w:fldCharType="begin"/>
      </w:r>
      <w:r>
        <w:instrText xml:space="preserve"> HYPERLINK \l "_Toc194590189" </w:instrText>
      </w:r>
      <w:r>
        <w:fldChar w:fldCharType="separate"/>
      </w:r>
      <w:r>
        <w:rPr>
          <w:rStyle w:val="35"/>
          <w:rFonts w:eastAsia="仿宋"/>
        </w:rPr>
        <w:t>（一）评价原则</w:t>
      </w:r>
      <w:r>
        <w:rPr>
          <w:rFonts w:eastAsia="仿宋"/>
        </w:rPr>
        <w:tab/>
      </w:r>
      <w:r>
        <w:rPr>
          <w:rFonts w:eastAsia="仿宋"/>
        </w:rPr>
        <w:fldChar w:fldCharType="begin"/>
      </w:r>
      <w:r>
        <w:rPr>
          <w:rFonts w:eastAsia="仿宋"/>
        </w:rPr>
        <w:instrText xml:space="preserve"> PAGEREF _Toc194590189 \h </w:instrText>
      </w:r>
      <w:r>
        <w:rPr>
          <w:rFonts w:eastAsia="仿宋"/>
        </w:rPr>
        <w:fldChar w:fldCharType="separate"/>
      </w:r>
      <w:r>
        <w:rPr>
          <w:rFonts w:eastAsia="仿宋"/>
        </w:rPr>
        <w:t>14</w:t>
      </w:r>
      <w:r>
        <w:rPr>
          <w:rFonts w:eastAsia="仿宋"/>
        </w:rPr>
        <w:fldChar w:fldCharType="end"/>
      </w:r>
      <w:r>
        <w:rPr>
          <w:rFonts w:eastAsia="仿宋"/>
        </w:rPr>
        <w:fldChar w:fldCharType="end"/>
      </w:r>
    </w:p>
    <w:p w14:paraId="0F54F87E">
      <w:pPr>
        <w:pStyle w:val="26"/>
        <w:tabs>
          <w:tab w:val="right" w:leader="dot" w:pos="8302"/>
        </w:tabs>
        <w:spacing w:line="360" w:lineRule="exact"/>
        <w:rPr>
          <w:rFonts w:eastAsia="仿宋"/>
          <w:kern w:val="2"/>
          <w:szCs w:val="24"/>
          <w14:ligatures w14:val="standardContextual"/>
        </w:rPr>
      </w:pPr>
      <w:r>
        <w:fldChar w:fldCharType="begin"/>
      </w:r>
      <w:r>
        <w:instrText xml:space="preserve"> HYPERLINK \l "_Toc194590190" </w:instrText>
      </w:r>
      <w:r>
        <w:fldChar w:fldCharType="separate"/>
      </w:r>
      <w:r>
        <w:rPr>
          <w:rStyle w:val="35"/>
          <w:rFonts w:eastAsia="仿宋"/>
        </w:rPr>
        <w:t>（二）标准结构</w:t>
      </w:r>
      <w:r>
        <w:rPr>
          <w:rFonts w:eastAsia="仿宋"/>
        </w:rPr>
        <w:tab/>
      </w:r>
      <w:r>
        <w:rPr>
          <w:rFonts w:eastAsia="仿宋"/>
        </w:rPr>
        <w:fldChar w:fldCharType="begin"/>
      </w:r>
      <w:r>
        <w:rPr>
          <w:rFonts w:eastAsia="仿宋"/>
        </w:rPr>
        <w:instrText xml:space="preserve"> PAGEREF _Toc194590190 \h </w:instrText>
      </w:r>
      <w:r>
        <w:rPr>
          <w:rFonts w:eastAsia="仿宋"/>
        </w:rPr>
        <w:fldChar w:fldCharType="separate"/>
      </w:r>
      <w:r>
        <w:rPr>
          <w:rFonts w:eastAsia="仿宋"/>
        </w:rPr>
        <w:t>14</w:t>
      </w:r>
      <w:r>
        <w:rPr>
          <w:rFonts w:eastAsia="仿宋"/>
        </w:rPr>
        <w:fldChar w:fldCharType="end"/>
      </w:r>
      <w:r>
        <w:rPr>
          <w:rFonts w:eastAsia="仿宋"/>
        </w:rPr>
        <w:fldChar w:fldCharType="end"/>
      </w:r>
    </w:p>
    <w:p w14:paraId="49CDC154">
      <w:pPr>
        <w:pStyle w:val="26"/>
        <w:tabs>
          <w:tab w:val="right" w:leader="dot" w:pos="8302"/>
        </w:tabs>
        <w:spacing w:line="360" w:lineRule="exact"/>
        <w:rPr>
          <w:rFonts w:eastAsia="仿宋"/>
          <w:kern w:val="2"/>
          <w:szCs w:val="24"/>
          <w14:ligatures w14:val="standardContextual"/>
        </w:rPr>
      </w:pPr>
      <w:r>
        <w:fldChar w:fldCharType="begin"/>
      </w:r>
      <w:r>
        <w:instrText xml:space="preserve"> HYPERLINK \l "_Toc194590191" </w:instrText>
      </w:r>
      <w:r>
        <w:fldChar w:fldCharType="separate"/>
      </w:r>
      <w:r>
        <w:rPr>
          <w:rStyle w:val="35"/>
          <w:rFonts w:eastAsia="仿宋"/>
        </w:rPr>
        <w:t>（三）主要技术要求分析</w:t>
      </w:r>
      <w:r>
        <w:rPr>
          <w:rFonts w:eastAsia="仿宋"/>
        </w:rPr>
        <w:tab/>
      </w:r>
      <w:r>
        <w:rPr>
          <w:rFonts w:eastAsia="仿宋"/>
        </w:rPr>
        <w:fldChar w:fldCharType="begin"/>
      </w:r>
      <w:r>
        <w:rPr>
          <w:rFonts w:eastAsia="仿宋"/>
        </w:rPr>
        <w:instrText xml:space="preserve"> PAGEREF _Toc194590191 \h </w:instrText>
      </w:r>
      <w:r>
        <w:rPr>
          <w:rFonts w:eastAsia="仿宋"/>
        </w:rPr>
        <w:fldChar w:fldCharType="separate"/>
      </w:r>
      <w:r>
        <w:rPr>
          <w:rFonts w:eastAsia="仿宋"/>
        </w:rPr>
        <w:t>16</w:t>
      </w:r>
      <w:r>
        <w:rPr>
          <w:rFonts w:eastAsia="仿宋"/>
        </w:rPr>
        <w:fldChar w:fldCharType="end"/>
      </w:r>
      <w:r>
        <w:rPr>
          <w:rFonts w:eastAsia="仿宋"/>
        </w:rPr>
        <w:fldChar w:fldCharType="end"/>
      </w:r>
    </w:p>
    <w:p w14:paraId="757E9F42">
      <w:pPr>
        <w:pStyle w:val="23"/>
        <w:tabs>
          <w:tab w:val="right" w:leader="dot" w:pos="8302"/>
        </w:tabs>
        <w:spacing w:line="360" w:lineRule="exact"/>
        <w:rPr>
          <w:rFonts w:eastAsia="仿宋"/>
          <w:kern w:val="2"/>
          <w:szCs w:val="24"/>
          <w14:ligatures w14:val="standardContextual"/>
        </w:rPr>
      </w:pPr>
      <w:r>
        <w:fldChar w:fldCharType="begin"/>
      </w:r>
      <w:r>
        <w:instrText xml:space="preserve"> HYPERLINK \l "_Toc194590192" </w:instrText>
      </w:r>
      <w:r>
        <w:fldChar w:fldCharType="separate"/>
      </w:r>
      <w:r>
        <w:rPr>
          <w:rStyle w:val="35"/>
          <w:rFonts w:eastAsia="仿宋"/>
        </w:rPr>
        <w:t>五、本文件与国内相关标准的对比</w:t>
      </w:r>
      <w:r>
        <w:rPr>
          <w:rFonts w:eastAsia="仿宋"/>
        </w:rPr>
        <w:tab/>
      </w:r>
      <w:r>
        <w:rPr>
          <w:rFonts w:eastAsia="仿宋"/>
        </w:rPr>
        <w:fldChar w:fldCharType="begin"/>
      </w:r>
      <w:r>
        <w:rPr>
          <w:rFonts w:eastAsia="仿宋"/>
        </w:rPr>
        <w:instrText xml:space="preserve"> PAGEREF _Toc194590192 \h </w:instrText>
      </w:r>
      <w:r>
        <w:rPr>
          <w:rFonts w:eastAsia="仿宋"/>
        </w:rPr>
        <w:fldChar w:fldCharType="separate"/>
      </w:r>
      <w:r>
        <w:rPr>
          <w:rFonts w:eastAsia="仿宋"/>
        </w:rPr>
        <w:t>26</w:t>
      </w:r>
      <w:r>
        <w:rPr>
          <w:rFonts w:eastAsia="仿宋"/>
        </w:rPr>
        <w:fldChar w:fldCharType="end"/>
      </w:r>
      <w:r>
        <w:rPr>
          <w:rFonts w:eastAsia="仿宋"/>
        </w:rPr>
        <w:fldChar w:fldCharType="end"/>
      </w:r>
    </w:p>
    <w:p w14:paraId="15B0AED3">
      <w:pPr>
        <w:pStyle w:val="23"/>
        <w:tabs>
          <w:tab w:val="right" w:leader="dot" w:pos="8302"/>
        </w:tabs>
        <w:spacing w:line="360" w:lineRule="exact"/>
        <w:rPr>
          <w:rFonts w:eastAsia="仿宋"/>
          <w:kern w:val="2"/>
          <w:szCs w:val="24"/>
          <w14:ligatures w14:val="standardContextual"/>
        </w:rPr>
      </w:pPr>
      <w:r>
        <w:fldChar w:fldCharType="begin"/>
      </w:r>
      <w:r>
        <w:instrText xml:space="preserve"> HYPERLINK \l "_Toc194590193" </w:instrText>
      </w:r>
      <w:r>
        <w:fldChar w:fldCharType="separate"/>
      </w:r>
      <w:r>
        <w:rPr>
          <w:rStyle w:val="35"/>
          <w:rFonts w:eastAsia="仿宋"/>
        </w:rPr>
        <w:t>六、知识产权说明</w:t>
      </w:r>
      <w:r>
        <w:rPr>
          <w:rFonts w:eastAsia="仿宋"/>
        </w:rPr>
        <w:tab/>
      </w:r>
      <w:r>
        <w:rPr>
          <w:rFonts w:eastAsia="仿宋"/>
        </w:rPr>
        <w:fldChar w:fldCharType="begin"/>
      </w:r>
      <w:r>
        <w:rPr>
          <w:rFonts w:eastAsia="仿宋"/>
        </w:rPr>
        <w:instrText xml:space="preserve"> PAGEREF _Toc194590193 \h </w:instrText>
      </w:r>
      <w:r>
        <w:rPr>
          <w:rFonts w:eastAsia="仿宋"/>
        </w:rPr>
        <w:fldChar w:fldCharType="separate"/>
      </w:r>
      <w:r>
        <w:rPr>
          <w:rFonts w:eastAsia="仿宋"/>
        </w:rPr>
        <w:t>26</w:t>
      </w:r>
      <w:r>
        <w:rPr>
          <w:rFonts w:eastAsia="仿宋"/>
        </w:rPr>
        <w:fldChar w:fldCharType="end"/>
      </w:r>
      <w:r>
        <w:rPr>
          <w:rFonts w:eastAsia="仿宋"/>
        </w:rPr>
        <w:fldChar w:fldCharType="end"/>
      </w:r>
    </w:p>
    <w:p w14:paraId="362F9444">
      <w:pPr>
        <w:pStyle w:val="23"/>
        <w:tabs>
          <w:tab w:val="right" w:leader="dot" w:pos="8302"/>
        </w:tabs>
        <w:spacing w:line="360" w:lineRule="exact"/>
        <w:rPr>
          <w:rFonts w:eastAsia="仿宋"/>
          <w:kern w:val="2"/>
          <w:szCs w:val="24"/>
          <w14:ligatures w14:val="standardContextual"/>
        </w:rPr>
      </w:pPr>
      <w:r>
        <w:fldChar w:fldCharType="begin"/>
      </w:r>
      <w:r>
        <w:instrText xml:space="preserve"> HYPERLINK \l "_Toc194590194" </w:instrText>
      </w:r>
      <w:r>
        <w:fldChar w:fldCharType="separate"/>
      </w:r>
      <w:r>
        <w:rPr>
          <w:rStyle w:val="35"/>
          <w:rFonts w:eastAsia="仿宋"/>
        </w:rPr>
        <w:t>七、重大意见分歧的处理</w:t>
      </w:r>
      <w:r>
        <w:rPr>
          <w:rFonts w:eastAsia="仿宋"/>
        </w:rPr>
        <w:tab/>
      </w:r>
      <w:r>
        <w:rPr>
          <w:rFonts w:eastAsia="仿宋"/>
        </w:rPr>
        <w:fldChar w:fldCharType="begin"/>
      </w:r>
      <w:r>
        <w:rPr>
          <w:rFonts w:eastAsia="仿宋"/>
        </w:rPr>
        <w:instrText xml:space="preserve"> PAGEREF _Toc194590194 \h </w:instrText>
      </w:r>
      <w:r>
        <w:rPr>
          <w:rFonts w:eastAsia="仿宋"/>
        </w:rPr>
        <w:fldChar w:fldCharType="separate"/>
      </w:r>
      <w:r>
        <w:rPr>
          <w:rFonts w:eastAsia="仿宋"/>
        </w:rPr>
        <w:t>26</w:t>
      </w:r>
      <w:r>
        <w:rPr>
          <w:rFonts w:eastAsia="仿宋"/>
        </w:rPr>
        <w:fldChar w:fldCharType="end"/>
      </w:r>
      <w:r>
        <w:rPr>
          <w:rFonts w:eastAsia="仿宋"/>
        </w:rPr>
        <w:fldChar w:fldCharType="end"/>
      </w:r>
    </w:p>
    <w:p w14:paraId="5A57D6B5">
      <w:pPr>
        <w:pStyle w:val="23"/>
        <w:tabs>
          <w:tab w:val="right" w:leader="dot" w:pos="8302"/>
        </w:tabs>
        <w:spacing w:line="360" w:lineRule="exact"/>
        <w:rPr>
          <w:rFonts w:asciiTheme="minorHAnsi" w:hAnsiTheme="minorHAnsi" w:eastAsiaTheme="minorEastAsia" w:cstheme="minorBidi"/>
          <w:kern w:val="2"/>
          <w:szCs w:val="24"/>
          <w14:ligatures w14:val="standardContextual"/>
        </w:rPr>
      </w:pPr>
      <w:r>
        <w:fldChar w:fldCharType="begin"/>
      </w:r>
      <w:r>
        <w:instrText xml:space="preserve"> HYPERLINK \l "_Toc194590195" </w:instrText>
      </w:r>
      <w:r>
        <w:fldChar w:fldCharType="separate"/>
      </w:r>
      <w:r>
        <w:rPr>
          <w:rStyle w:val="35"/>
          <w:rFonts w:eastAsia="仿宋"/>
        </w:rPr>
        <w:t>八、其他应说明的事项</w:t>
      </w:r>
      <w:r>
        <w:rPr>
          <w:rFonts w:eastAsia="仿宋"/>
        </w:rPr>
        <w:tab/>
      </w:r>
      <w:r>
        <w:rPr>
          <w:rFonts w:eastAsia="仿宋"/>
        </w:rPr>
        <w:fldChar w:fldCharType="begin"/>
      </w:r>
      <w:r>
        <w:rPr>
          <w:rFonts w:eastAsia="仿宋"/>
        </w:rPr>
        <w:instrText xml:space="preserve"> PAGEREF _Toc194590195 \h </w:instrText>
      </w:r>
      <w:r>
        <w:rPr>
          <w:rFonts w:eastAsia="仿宋"/>
        </w:rPr>
        <w:fldChar w:fldCharType="separate"/>
      </w:r>
      <w:r>
        <w:rPr>
          <w:rFonts w:eastAsia="仿宋"/>
        </w:rPr>
        <w:t>27</w:t>
      </w:r>
      <w:r>
        <w:rPr>
          <w:rFonts w:eastAsia="仿宋"/>
        </w:rPr>
        <w:fldChar w:fldCharType="end"/>
      </w:r>
      <w:r>
        <w:rPr>
          <w:rFonts w:eastAsia="仿宋"/>
        </w:rPr>
        <w:fldChar w:fldCharType="end"/>
      </w:r>
    </w:p>
    <w:p w14:paraId="49051A23">
      <w:pPr>
        <w:spacing w:line="460" w:lineRule="exact"/>
        <w:rPr>
          <w:rFonts w:hint="eastAsia" w:ascii="宋体" w:hAnsi="宋体"/>
          <w:szCs w:val="21"/>
        </w:rPr>
        <w:sectPr>
          <w:footerReference r:id="rId6" w:type="first"/>
          <w:footerReference r:id="rId5" w:type="default"/>
          <w:pgSz w:w="11906" w:h="16838"/>
          <w:pgMar w:top="1440" w:right="1797" w:bottom="1440" w:left="1797" w:header="851" w:footer="992" w:gutter="0"/>
          <w:pgNumType w:fmt="upperRoman" w:start="1"/>
          <w:cols w:space="720" w:num="1"/>
          <w:docGrid w:type="lines" w:linePitch="312" w:charSpace="0"/>
        </w:sectPr>
      </w:pPr>
      <w:r>
        <w:rPr>
          <w:rFonts w:ascii="宋体" w:hAnsi="宋体"/>
          <w:sz w:val="28"/>
          <w:szCs w:val="28"/>
        </w:rPr>
        <w:fldChar w:fldCharType="end"/>
      </w:r>
    </w:p>
    <w:p w14:paraId="413632BE">
      <w:pPr>
        <w:pStyle w:val="2"/>
      </w:pPr>
      <w:bookmarkStart w:id="15" w:name="_Toc194590178"/>
      <w:r>
        <w:rPr>
          <w:rFonts w:hint="eastAsia"/>
        </w:rPr>
        <w:t>一、工作简况</w:t>
      </w:r>
      <w:bookmarkEnd w:id="15"/>
    </w:p>
    <w:p w14:paraId="460A6DFE">
      <w:pPr>
        <w:pStyle w:val="3"/>
      </w:pPr>
      <w:bookmarkStart w:id="16" w:name="_Toc194590179"/>
      <w:r>
        <w:rPr>
          <w:rFonts w:hint="eastAsia"/>
        </w:rPr>
        <w:t>（一）任务来源</w:t>
      </w:r>
      <w:bookmarkEnd w:id="16"/>
    </w:p>
    <w:p w14:paraId="396D7A24">
      <w:pPr>
        <w:spacing w:line="560" w:lineRule="exact"/>
        <w:ind w:firstLine="560" w:firstLineChars="200"/>
        <w:rPr>
          <w:rFonts w:hint="eastAsia" w:ascii="仿宋" w:hAnsi="仿宋" w:eastAsia="仿宋"/>
          <w:sz w:val="28"/>
          <w:szCs w:val="28"/>
        </w:rPr>
      </w:pPr>
      <w:r>
        <w:rPr>
          <w:rFonts w:hint="eastAsia" w:ascii="仿宋" w:hAnsi="仿宋" w:eastAsia="仿宋"/>
          <w:sz w:val="28"/>
          <w:szCs w:val="28"/>
        </w:rPr>
        <w:t>陕西省成矿条件优越，矿产资源丰富，从北向南鄂尔多斯盆地、渭河盆地、秦岭、巴山等区域石油、天然气、煤炭、金矿等优势矿产特征明显，其中金属矿产主要在陕南秦巴造山带富集，历史上采矿活动兴盛，形成大量历史遗留的锑矿、铜矿、铅锌矿、金矿、银矿、镍钴矿、钼矿、钒矿、锰矿、铁矿等有色金属和黑色金属矿，以及硫铁矿、石煤矿等典型多金属伴生的非金属矿，废渣（含采矿剥离废石、选矿尾矿）、矿硐等污染源量大面广，对周边环境-造成较为突出的生态环境风险。</w:t>
      </w:r>
      <w:r>
        <w:rPr>
          <w:rFonts w:ascii="仿宋" w:hAnsi="仿宋" w:eastAsia="仿宋"/>
          <w:sz w:val="28"/>
          <w:szCs w:val="28"/>
        </w:rPr>
        <w:t>2020年7月4日，《澎湃新闻》报道了</w:t>
      </w:r>
      <w:r>
        <w:rPr>
          <w:rFonts w:hint="eastAsia" w:ascii="仿宋" w:hAnsi="仿宋" w:eastAsia="仿宋"/>
          <w:sz w:val="28"/>
          <w:szCs w:val="28"/>
        </w:rPr>
        <w:t>陕西省白河县硫铁矿区污染问题，引起了党和国家高度重视，在国家相关部委的指导下，陕西省委、省政府高度重视，研究部署并迅速开展了硫铁矿水质污染专项整治工作，2022年11月陕西省生态环境厅发布了《陕西省汉江丹江流域涉金属矿山环境综合整治规划（2021-2030年）》（以下简称《规划》）。2021年丹江口库区上游锑污染浓度异常事件引起生态环境部高度重视，随即组织开展了一系列应急处置行动，以切实保障丹江口水库水质安全。2024年12月生态环境部发布了《丹江口库区及上游历史遗留关于印发矿山重金属污染系统治理方案》,提出了以锑污染防控为重点的，分区分类分阶段历史遗留矿山重金属污染防治目标和任务要求，陕西汉丹江流域涉金属历史遗留矿山环境污染防治任务艰巨。</w:t>
      </w:r>
    </w:p>
    <w:p w14:paraId="6D7467CB">
      <w:pPr>
        <w:spacing w:line="560" w:lineRule="exact"/>
        <w:ind w:firstLine="560" w:firstLineChars="200"/>
        <w:rPr>
          <w:rFonts w:hint="eastAsia" w:ascii="仿宋" w:hAnsi="仿宋" w:eastAsia="仿宋"/>
          <w:sz w:val="28"/>
          <w:szCs w:val="28"/>
        </w:rPr>
      </w:pPr>
      <w:r>
        <w:rPr>
          <w:rFonts w:hint="eastAsia" w:ascii="仿宋" w:hAnsi="仿宋" w:eastAsia="仿宋"/>
          <w:sz w:val="28"/>
          <w:szCs w:val="28"/>
        </w:rPr>
        <w:t>矿山环境污染风险评估及制定分区风险防控策略是提高矿山污染精准治污、科学治污的重要路径和技术方法。但目前在生态环境保护领域，尚未建立一套针对矿山污染防治和风险防控特点的科学、合理、统一的定量化环境风险评估、-风险分级技术方法和相应的技术规范性文件，缺乏风险防控思路指导下矿山污染分区防控目标与防控策略制定的技术方法。当前陕西省正在全面开展历史遗留矿区污染防治工程，为树立和强化矿山污染风险防控意识，科学开展矿山环境风险评估，有效指导矿山污染防治工程实施，制定矿山污染防治分区风险评估及防控策略技术指南是非常重要和急迫的。</w:t>
      </w:r>
    </w:p>
    <w:p w14:paraId="60FCE67A">
      <w:pPr>
        <w:spacing w:line="560" w:lineRule="exact"/>
        <w:ind w:firstLine="560" w:firstLineChars="200"/>
        <w:rPr>
          <w:rFonts w:hint="eastAsia" w:ascii="仿宋" w:hAnsi="仿宋" w:eastAsia="仿宋"/>
          <w:sz w:val="28"/>
          <w:szCs w:val="28"/>
        </w:rPr>
      </w:pPr>
      <w:r>
        <w:rPr>
          <w:rFonts w:ascii="仿宋" w:hAnsi="仿宋" w:eastAsia="仿宋"/>
          <w:sz w:val="28"/>
          <w:szCs w:val="28"/>
        </w:rPr>
        <w:t>2024年</w:t>
      </w:r>
      <w:r>
        <w:rPr>
          <w:rFonts w:hint="eastAsia" w:ascii="仿宋" w:hAnsi="仿宋" w:eastAsia="仿宋"/>
          <w:sz w:val="28"/>
          <w:szCs w:val="28"/>
        </w:rPr>
        <w:t>3</w:t>
      </w:r>
      <w:r>
        <w:rPr>
          <w:rFonts w:ascii="仿宋" w:hAnsi="仿宋" w:eastAsia="仿宋"/>
          <w:sz w:val="28"/>
          <w:szCs w:val="28"/>
        </w:rPr>
        <w:t>月，生态环境部环境规划院、陕西省环境科学研究院、中国地质调查局西安地质调查中心、陕西省地质调查院</w:t>
      </w:r>
      <w:r>
        <w:rPr>
          <w:rFonts w:hint="eastAsia" w:ascii="仿宋" w:hAnsi="仿宋" w:eastAsia="仿宋"/>
          <w:sz w:val="28"/>
          <w:szCs w:val="28"/>
        </w:rPr>
        <w:t>等单位共同</w:t>
      </w:r>
      <w:r>
        <w:rPr>
          <w:rFonts w:ascii="仿宋" w:hAnsi="仿宋" w:eastAsia="仿宋"/>
          <w:sz w:val="28"/>
          <w:szCs w:val="28"/>
        </w:rPr>
        <w:t>向陕西省生态环境保护标准化技术委员会联合上报了涉</w:t>
      </w:r>
      <w:r>
        <w:rPr>
          <w:rFonts w:hint="eastAsia" w:ascii="仿宋" w:hAnsi="仿宋" w:eastAsia="仿宋"/>
          <w:sz w:val="28"/>
          <w:szCs w:val="28"/>
        </w:rPr>
        <w:t>重</w:t>
      </w:r>
      <w:r>
        <w:rPr>
          <w:rFonts w:ascii="仿宋" w:hAnsi="仿宋" w:eastAsia="仿宋"/>
          <w:sz w:val="28"/>
          <w:szCs w:val="28"/>
        </w:rPr>
        <w:t>金属矿山环境污染防治系列标准制定申请，系列标准包含涉</w:t>
      </w:r>
      <w:r>
        <w:rPr>
          <w:rFonts w:hint="eastAsia" w:ascii="仿宋" w:hAnsi="仿宋" w:eastAsia="仿宋"/>
          <w:sz w:val="28"/>
          <w:szCs w:val="28"/>
        </w:rPr>
        <w:t>重</w:t>
      </w:r>
      <w:r>
        <w:rPr>
          <w:rFonts w:ascii="仿宋" w:hAnsi="仿宋" w:eastAsia="仿宋"/>
          <w:sz w:val="28"/>
          <w:szCs w:val="28"/>
        </w:rPr>
        <w:t>金属矿山环境污染防治技术指南 第1部分：通则、第2部分：调查评价、第3部分：环境监测、</w:t>
      </w:r>
      <w:r>
        <w:rPr>
          <w:rFonts w:ascii="仿宋" w:hAnsi="仿宋" w:eastAsia="仿宋"/>
          <w:b/>
          <w:bCs/>
          <w:sz w:val="28"/>
          <w:szCs w:val="28"/>
        </w:rPr>
        <w:t>第4部分：分区风险评估及防控</w:t>
      </w:r>
      <w:r>
        <w:rPr>
          <w:rFonts w:hint="eastAsia" w:ascii="仿宋" w:hAnsi="仿宋" w:eastAsia="仿宋"/>
          <w:b/>
          <w:bCs/>
          <w:sz w:val="28"/>
          <w:szCs w:val="28"/>
        </w:rPr>
        <w:t>策略</w:t>
      </w:r>
      <w:r>
        <w:rPr>
          <w:rFonts w:ascii="仿宋" w:hAnsi="仿宋" w:eastAsia="仿宋"/>
          <w:sz w:val="28"/>
          <w:szCs w:val="28"/>
        </w:rPr>
        <w:t>、第5部分：历史遗留矿山 环境污染治理可行性研究报告编制、第6部分：矿硐勘查技术、第7部分：废弃矿硐封堵技术。2024年4月，陕西省市场监督管理局组织专家对申报材料进行了评审，专家组一致同意通过立项申请</w:t>
      </w:r>
      <w:r>
        <w:rPr>
          <w:rFonts w:hint="eastAsia" w:ascii="仿宋" w:hAnsi="仿宋" w:eastAsia="仿宋"/>
          <w:sz w:val="28"/>
          <w:szCs w:val="28"/>
        </w:rPr>
        <w:t>。</w:t>
      </w:r>
      <w:r>
        <w:rPr>
          <w:rFonts w:ascii="仿宋" w:hAnsi="仿宋" w:eastAsia="仿宋"/>
          <w:sz w:val="28"/>
          <w:szCs w:val="28"/>
        </w:rPr>
        <w:t>2024</w:t>
      </w:r>
      <w:r>
        <w:rPr>
          <w:rFonts w:hint="eastAsia" w:ascii="仿宋" w:hAnsi="仿宋" w:eastAsia="仿宋"/>
          <w:sz w:val="28"/>
          <w:szCs w:val="28"/>
        </w:rPr>
        <w:t>年5</w:t>
      </w:r>
      <w:r>
        <w:rPr>
          <w:rFonts w:ascii="仿宋" w:hAnsi="仿宋" w:eastAsia="仿宋"/>
          <w:sz w:val="28"/>
          <w:szCs w:val="28"/>
        </w:rPr>
        <w:t>月，陕西省市场监督管理局将本</w:t>
      </w:r>
      <w:r>
        <w:rPr>
          <w:rFonts w:hint="eastAsia" w:ascii="仿宋" w:hAnsi="仿宋" w:eastAsia="仿宋"/>
          <w:sz w:val="28"/>
          <w:szCs w:val="28"/>
        </w:rPr>
        <w:t>系列</w:t>
      </w:r>
      <w:r>
        <w:rPr>
          <w:rFonts w:ascii="仿宋" w:hAnsi="仿宋" w:eastAsia="仿宋"/>
          <w:sz w:val="28"/>
          <w:szCs w:val="28"/>
        </w:rPr>
        <w:t>标准列入“2024年第一批地方标准制修订计划”</w:t>
      </w:r>
      <w:r>
        <w:rPr>
          <w:rFonts w:hint="eastAsia" w:ascii="仿宋" w:hAnsi="仿宋" w:eastAsia="仿宋"/>
          <w:sz w:val="28"/>
          <w:szCs w:val="28"/>
        </w:rPr>
        <w:t>（陕市监函〔2024〕276号）</w:t>
      </w:r>
      <w:r>
        <w:rPr>
          <w:rFonts w:ascii="仿宋" w:hAnsi="仿宋" w:eastAsia="仿宋"/>
          <w:sz w:val="28"/>
          <w:szCs w:val="28"/>
        </w:rPr>
        <w:t>，正式确定了</w:t>
      </w:r>
      <w:r>
        <w:rPr>
          <w:rFonts w:ascii="仿宋" w:hAnsi="仿宋" w:eastAsia="仿宋"/>
          <w:b/>
          <w:bCs/>
          <w:sz w:val="28"/>
          <w:szCs w:val="28"/>
        </w:rPr>
        <w:t>第4部分：分区风险评估及防控</w:t>
      </w:r>
      <w:r>
        <w:rPr>
          <w:rFonts w:hint="eastAsia" w:ascii="仿宋" w:hAnsi="仿宋" w:eastAsia="仿宋"/>
          <w:b/>
          <w:bCs/>
          <w:sz w:val="28"/>
          <w:szCs w:val="28"/>
        </w:rPr>
        <w:t>策略</w:t>
      </w:r>
      <w:r>
        <w:rPr>
          <w:rFonts w:hint="eastAsia" w:ascii="仿宋" w:hAnsi="仿宋" w:eastAsia="仿宋"/>
          <w:sz w:val="28"/>
          <w:szCs w:val="28"/>
        </w:rPr>
        <w:t>指南的</w:t>
      </w:r>
      <w:r>
        <w:rPr>
          <w:rFonts w:ascii="仿宋" w:hAnsi="仿宋" w:eastAsia="仿宋"/>
          <w:sz w:val="28"/>
          <w:szCs w:val="28"/>
        </w:rPr>
        <w:t>编制任务</w:t>
      </w:r>
      <w:r>
        <w:rPr>
          <w:rFonts w:hint="eastAsia" w:ascii="仿宋" w:hAnsi="仿宋" w:eastAsia="仿宋"/>
          <w:sz w:val="28"/>
          <w:szCs w:val="28"/>
        </w:rPr>
        <w:t>，计划编号为SDBXM 011-2024。</w:t>
      </w:r>
      <w:r>
        <w:rPr>
          <w:rFonts w:ascii="仿宋" w:hAnsi="仿宋" w:eastAsia="仿宋"/>
          <w:sz w:val="28"/>
          <w:szCs w:val="28"/>
        </w:rPr>
        <w:t xml:space="preserve">本文件为首次制定，为推荐性标准。 </w:t>
      </w:r>
    </w:p>
    <w:p w14:paraId="79484658">
      <w:pPr>
        <w:pStyle w:val="3"/>
      </w:pPr>
      <w:bookmarkStart w:id="17" w:name="_Toc194590180"/>
      <w:r>
        <w:rPr>
          <w:rFonts w:hint="eastAsia"/>
        </w:rPr>
        <w:t>（二）编制目的与意义</w:t>
      </w:r>
      <w:bookmarkEnd w:id="17"/>
    </w:p>
    <w:p w14:paraId="64BFA49D">
      <w:pPr>
        <w:pStyle w:val="5"/>
      </w:pPr>
      <w:r>
        <w:rPr>
          <w:rFonts w:hint="eastAsia"/>
        </w:rPr>
        <w:t>1、需要解决的主要问题</w:t>
      </w:r>
    </w:p>
    <w:p w14:paraId="271B049C">
      <w:pPr>
        <w:spacing w:line="560" w:lineRule="exact"/>
        <w:ind w:firstLine="560" w:firstLineChars="200"/>
        <w:rPr>
          <w:rFonts w:hint="eastAsia" w:ascii="仿宋" w:hAnsi="仿宋" w:eastAsia="仿宋"/>
          <w:sz w:val="28"/>
          <w:szCs w:val="28"/>
        </w:rPr>
      </w:pPr>
      <w:r>
        <w:rPr>
          <w:rFonts w:hint="eastAsia" w:ascii="仿宋" w:hAnsi="仿宋" w:eastAsia="仿宋"/>
          <w:sz w:val="28"/>
          <w:szCs w:val="28"/>
        </w:rPr>
        <w:t>陕南地区降雨丰沛、水网密集，涉金属矿山历史遗留的废渣、矿硐等污染源直接影响周边河道水质，同时往往在一个流域内分布有多条支沟，每条支沟内分布有数量不等的废渣、矿硐等污染源，如白河硫铁矿区、旬阳汞锑矿矿区、紫阳-汉滨-岚皋石煤矿区等都呈现流域-</w:t>
      </w:r>
      <w:bookmarkStart w:id="18" w:name="_Hlk185097696"/>
      <w:r>
        <w:rPr>
          <w:rFonts w:hint="eastAsia" w:ascii="仿宋" w:hAnsi="仿宋" w:eastAsia="仿宋"/>
          <w:sz w:val="28"/>
          <w:szCs w:val="28"/>
        </w:rPr>
        <w:t>沟（河）道</w:t>
      </w:r>
      <w:bookmarkEnd w:id="18"/>
      <w:r>
        <w:rPr>
          <w:rFonts w:hint="eastAsia" w:ascii="仿宋" w:hAnsi="仿宋" w:eastAsia="仿宋"/>
          <w:sz w:val="28"/>
          <w:szCs w:val="28"/>
        </w:rPr>
        <w:t>-污染源的分布状态和特点。</w:t>
      </w:r>
    </w:p>
    <w:p w14:paraId="528CABE3">
      <w:pPr>
        <w:spacing w:line="560" w:lineRule="exact"/>
        <w:ind w:firstLine="602"/>
        <w:rPr>
          <w:rFonts w:hint="eastAsia" w:ascii="仿宋" w:hAnsi="仿宋" w:eastAsia="仿宋"/>
          <w:sz w:val="28"/>
          <w:szCs w:val="28"/>
        </w:rPr>
      </w:pPr>
      <w:r>
        <w:rPr>
          <w:rFonts w:hint="eastAsia" w:ascii="仿宋" w:hAnsi="仿宋" w:eastAsia="仿宋"/>
          <w:sz w:val="28"/>
          <w:szCs w:val="28"/>
        </w:rPr>
        <w:t>2022年11月陕西省生态环境厅发布的《陕西省汉丹江流域涉金属矿山生态环境综合整治规划（2021-2030年）》在指导思想中提出“</w:t>
      </w:r>
      <w:r>
        <w:rPr>
          <w:rFonts w:ascii="仿宋" w:hAnsi="仿宋" w:eastAsia="仿宋"/>
          <w:sz w:val="28"/>
          <w:szCs w:val="28"/>
        </w:rPr>
        <w:t>坚持风险管控和减污修复协同增效的总体导向，优先推进高风险区域和高风险源</w:t>
      </w:r>
      <w:r>
        <w:rPr>
          <w:rFonts w:hint="eastAsia" w:ascii="仿宋" w:hAnsi="仿宋" w:eastAsia="仿宋"/>
          <w:sz w:val="28"/>
          <w:szCs w:val="28"/>
        </w:rPr>
        <w:t>的综合整治与系统修复”，在基本原则中提出“坚持分区、分级、分类、分期治理和示范引领。划定风险防控区域，突出整治重点。因地制宜、遵循自然，针对不同类型、不同风险等级的污染源采取不同的整治策略。划定优先整治区域和对象，分阶段安排任务”。现实中矿山污染整治资金是有限的，需要将有限资金优先投入到环境风险较高的污染源整治上，上述要求确立了矿山污染源风险管控思想，按照环境风险高低的不同实施分区分级防控。</w:t>
      </w:r>
    </w:p>
    <w:p w14:paraId="326F3EC1">
      <w:pPr>
        <w:spacing w:line="560" w:lineRule="exact"/>
        <w:ind w:firstLine="560" w:firstLineChars="200"/>
        <w:rPr>
          <w:rFonts w:hint="eastAsia" w:ascii="仿宋" w:hAnsi="仿宋" w:eastAsia="仿宋"/>
          <w:b/>
          <w:bCs/>
          <w:sz w:val="28"/>
          <w:szCs w:val="28"/>
        </w:rPr>
      </w:pPr>
      <w:r>
        <w:rPr>
          <w:rFonts w:hint="eastAsia" w:ascii="仿宋" w:hAnsi="仿宋" w:eastAsia="仿宋"/>
          <w:sz w:val="28"/>
          <w:szCs w:val="28"/>
        </w:rPr>
        <w:t>充分结合陕西（重点是汉丹江流域）历史遗留矿山污染分布特点（见第二章第二节），以及汉丹江规划提出的风险防控区、风险防控断面、质量控制断面等含义和划定方法，本文件提出在调查评估范围内划定出若干污染风险单元，</w:t>
      </w:r>
      <w:r>
        <w:rPr>
          <w:rFonts w:hint="eastAsia" w:ascii="仿宋" w:hAnsi="仿宋" w:eastAsia="仿宋"/>
          <w:b/>
          <w:bCs/>
          <w:sz w:val="28"/>
          <w:szCs w:val="28"/>
        </w:rPr>
        <w:t>解决当前陕西省在矿山污染风险单元进行环境风险评估技术方法缺失的现实问题。具体表现为两个方面：一是</w:t>
      </w:r>
      <w:r>
        <w:rPr>
          <w:rFonts w:hint="eastAsia" w:ascii="仿宋" w:hAnsi="仿宋" w:eastAsia="仿宋"/>
          <w:sz w:val="28"/>
          <w:szCs w:val="28"/>
        </w:rPr>
        <w:t>要建立一套评估计算方法，定量计算出每个污染风险单元内废渣、废弃矿硐等污染源的环境风险大小和风险等级高低排序，以及相应的整治优先排序，以确定哪些污染源造成的环境风险相对较为突出而需要优先整治，哪些污染源对周边受体的环境风险相对较低，可以采取暂缓整治或者采取自然恢复为主的修复策略。</w:t>
      </w:r>
      <w:r>
        <w:rPr>
          <w:rFonts w:hint="eastAsia" w:ascii="仿宋" w:hAnsi="仿宋" w:eastAsia="仿宋"/>
          <w:b/>
          <w:bCs/>
          <w:sz w:val="28"/>
          <w:szCs w:val="28"/>
        </w:rPr>
        <w:t>二是</w:t>
      </w:r>
      <w:r>
        <w:rPr>
          <w:rFonts w:hint="eastAsia" w:ascii="仿宋" w:hAnsi="仿宋" w:eastAsia="仿宋"/>
          <w:sz w:val="28"/>
          <w:szCs w:val="28"/>
        </w:rPr>
        <w:t>要建立一套评估计算方法，定量计算出每个污染风险单元的环境风险大小和高低排序，以及相应的整治优先排序，以确定哪些风险单元造成的环境风险相对较为突出而需要优先整治。</w:t>
      </w:r>
    </w:p>
    <w:p w14:paraId="323CCE8F">
      <w:pPr>
        <w:pStyle w:val="5"/>
      </w:pPr>
      <w:r>
        <w:rPr>
          <w:rFonts w:hint="eastAsia"/>
        </w:rPr>
        <w:t>2、编制重要意义</w:t>
      </w:r>
    </w:p>
    <w:p w14:paraId="637321CF">
      <w:pPr>
        <w:spacing w:line="560" w:lineRule="exact"/>
        <w:ind w:firstLine="640"/>
        <w:rPr>
          <w:rFonts w:hint="eastAsia" w:ascii="仿宋_GB2312" w:hAnsi="黑体" w:eastAsia="仿宋_GB2312" w:cs="黑体"/>
          <w:sz w:val="28"/>
          <w:szCs w:val="28"/>
        </w:rPr>
      </w:pPr>
      <w:r>
        <w:rPr>
          <w:rFonts w:hint="eastAsia" w:ascii="仿宋_GB2312" w:hAnsi="黑体" w:eastAsia="仿宋_GB2312" w:cs="黑体"/>
          <w:sz w:val="28"/>
          <w:szCs w:val="28"/>
        </w:rPr>
        <w:t>根据上述分析，本文件编制的重要意义主要表现在以下方面：</w:t>
      </w:r>
    </w:p>
    <w:p w14:paraId="52E4FC7B">
      <w:pPr>
        <w:spacing w:line="560" w:lineRule="exact"/>
        <w:ind w:firstLine="643"/>
        <w:rPr>
          <w:rFonts w:hint="eastAsia" w:ascii="仿宋_GB2312" w:hAnsi="黑体" w:eastAsia="仿宋_GB2312" w:cs="黑体"/>
          <w:sz w:val="28"/>
          <w:szCs w:val="28"/>
        </w:rPr>
      </w:pPr>
      <w:r>
        <w:rPr>
          <w:rFonts w:hint="eastAsia" w:ascii="仿宋_GB2312" w:hAnsi="黑体" w:eastAsia="仿宋_GB2312" w:cs="黑体"/>
          <w:b/>
          <w:bCs/>
          <w:sz w:val="28"/>
          <w:szCs w:val="28"/>
        </w:rPr>
        <w:t>一是大力满足陕西省历史遗留矿山污染防治的现实迫切之需。</w:t>
      </w:r>
      <w:r>
        <w:rPr>
          <w:rFonts w:hint="eastAsia" w:ascii="仿宋_GB2312" w:hAnsi="黑体" w:eastAsia="仿宋_GB2312" w:cs="黑体"/>
          <w:sz w:val="28"/>
          <w:szCs w:val="28"/>
        </w:rPr>
        <w:t>《陕西省“十四五”生态环境保护规划》明确提出以白河硫铁矿污染综合整治为重点，大力开展汉丹江流域涉金属矿山生态环境综合整治。2022年11月陕西省生态环境厅发布实施《陕西省汉江丹江流域涉金属矿产开发生态环境综合整治规划(2021-2030年)》，该规划明确要求在2025年前完成包括制定矿区污染风险评估和管控策略指南在内的技术体系的构建，通过本文件的制定，切实科学指导陕西各地合理划定风险单元、进行环境风险值高低计算与排序、提出不同单元整治策略与任务要求等。制定本文件是大力落实《陕西省“十四五”生态环境保护规划》和《陕西省汉江丹江流域涉金属矿产开发生态环境综合整治规划 (2021-2030 年)》的必然要求。</w:t>
      </w:r>
    </w:p>
    <w:p w14:paraId="35B6E54F">
      <w:pPr>
        <w:spacing w:line="560" w:lineRule="exact"/>
        <w:ind w:firstLine="643"/>
        <w:rPr>
          <w:rFonts w:hint="eastAsia" w:ascii="仿宋_GB2312" w:hAnsi="黑体" w:eastAsia="仿宋_GB2312" w:cs="黑体"/>
          <w:sz w:val="28"/>
          <w:szCs w:val="28"/>
        </w:rPr>
      </w:pPr>
      <w:r>
        <w:rPr>
          <w:rFonts w:hint="eastAsia" w:ascii="仿宋_GB2312" w:hAnsi="黑体" w:eastAsia="仿宋_GB2312" w:cs="黑体"/>
          <w:b/>
          <w:bCs/>
          <w:sz w:val="28"/>
          <w:szCs w:val="28"/>
        </w:rPr>
        <w:t>二是尽快填补陕西省乃至我国历史遗留矿山污染防治分区风险评估和分区管控指导性文件空白的迫切要求。</w:t>
      </w:r>
      <w:r>
        <w:rPr>
          <w:rFonts w:hint="eastAsia" w:ascii="仿宋_GB2312" w:hAnsi="黑体" w:eastAsia="仿宋_GB2312" w:cs="黑体"/>
          <w:sz w:val="28"/>
          <w:szCs w:val="28"/>
        </w:rPr>
        <w:t>很长一段时间，我国历史遗留矿山污染防治并未受到足够重视，污染防治技术体系的建设很不完善，针对矿山污染特点的技术规范非常缺乏。当前，国家日益重视矿山污染防治，陕西省通过汉丹江规划的实施正在大力探索矿山污染防治工程实践经验，走到了全国前列。我国（包括陕西省）目前尚未发布过矿山（区）污染防治风险评估方面的技术规范性文件，各地对矿区风险评估的认识、定位也是不一，实际工作中非常需要技术规范文件的指导。陕西省率先开展本文件的编制，可以尽快填补我国矿山（区）污染防治风险防控的技术空白，支撑陕西省</w:t>
      </w:r>
      <w:r>
        <w:rPr>
          <w:rFonts w:hint="eastAsia" w:ascii="仿宋" w:hAnsi="仿宋" w:eastAsia="仿宋"/>
          <w:sz w:val="28"/>
          <w:szCs w:val="28"/>
        </w:rPr>
        <w:t>实施矿山污染防治的科学评估和系统防控，</w:t>
      </w:r>
      <w:r>
        <w:rPr>
          <w:rFonts w:hint="eastAsia" w:ascii="仿宋_GB2312" w:hAnsi="黑体" w:eastAsia="仿宋_GB2312" w:cs="黑体"/>
          <w:sz w:val="28"/>
          <w:szCs w:val="28"/>
        </w:rPr>
        <w:t>为我国在国家层面和其他相关省份开展风险评估、实施风险防控、制定规范标准等方面发挥示范带头作用。</w:t>
      </w:r>
    </w:p>
    <w:p w14:paraId="4487CD62">
      <w:pPr>
        <w:spacing w:line="560" w:lineRule="exact"/>
        <w:ind w:firstLine="643"/>
        <w:rPr>
          <w:rFonts w:hint="eastAsia" w:ascii="仿宋_GB2312" w:hAnsi="黑体" w:eastAsia="仿宋_GB2312" w:cs="黑体"/>
          <w:sz w:val="28"/>
          <w:szCs w:val="28"/>
        </w:rPr>
      </w:pPr>
      <w:r>
        <w:rPr>
          <w:rFonts w:hint="eastAsia" w:ascii="仿宋_GB2312" w:hAnsi="黑体" w:eastAsia="仿宋_GB2312" w:cs="黑体"/>
          <w:b/>
          <w:bCs/>
          <w:sz w:val="28"/>
          <w:szCs w:val="28"/>
        </w:rPr>
        <w:t>三是尽快将陕西省矿区污染风险评估取得的案例经验转化为规范性文件的必要要求。</w:t>
      </w:r>
      <w:r>
        <w:rPr>
          <w:rFonts w:hint="eastAsia" w:ascii="仿宋_GB2312" w:hAnsi="黑体" w:eastAsia="仿宋_GB2312" w:cs="黑体"/>
          <w:sz w:val="28"/>
          <w:szCs w:val="28"/>
        </w:rPr>
        <w:t>在汉丹江规划实施和相关防控区域推进污染防控的实践过程中，陕西省相关技术单位也从不同目的、不同角度开展过一些矿山污染风险评估技术方法的研究，边研究边实践，这些实践经验也为本文件编制提供了一定基础。本文件将在充分分析这些案例方法技术特点和存在问题的基础上，密切结合陕西矿山污染特点、合理筛选确定评价指标、确保评价指标科学含义、避免评价指标重复性等方面，避免已有评价案例存在的问题，建立一套科学合理的技术方法。因此本文件的编制是尽快总结陕西省已有案例基础并形成规范性文件的必然要求。</w:t>
      </w:r>
    </w:p>
    <w:p w14:paraId="4FBA2AB1">
      <w:pPr>
        <w:pStyle w:val="3"/>
      </w:pPr>
      <w:bookmarkStart w:id="19" w:name="_Toc194590181"/>
      <w:r>
        <w:rPr>
          <w:rFonts w:hint="eastAsia"/>
        </w:rPr>
        <w:t>（三）编制单位和主要编制人员</w:t>
      </w:r>
      <w:bookmarkEnd w:id="19"/>
    </w:p>
    <w:p w14:paraId="016BD67E">
      <w:pPr>
        <w:pStyle w:val="5"/>
      </w:pPr>
      <w:r>
        <w:rPr>
          <w:rFonts w:hint="eastAsia"/>
        </w:rPr>
        <w:t>1、编制单位和任务分工</w:t>
      </w:r>
    </w:p>
    <w:p w14:paraId="72F8D7CE">
      <w:pPr>
        <w:spacing w:line="560" w:lineRule="exact"/>
        <w:ind w:firstLine="562" w:firstLineChars="200"/>
        <w:rPr>
          <w:rFonts w:hint="eastAsia" w:ascii="仿宋" w:hAnsi="仿宋" w:eastAsia="仿宋"/>
          <w:sz w:val="28"/>
          <w:szCs w:val="28"/>
        </w:rPr>
      </w:pPr>
      <w:r>
        <w:rPr>
          <w:rFonts w:hint="eastAsia" w:ascii="仿宋" w:hAnsi="仿宋" w:eastAsia="仿宋"/>
          <w:b/>
          <w:bCs/>
          <w:sz w:val="28"/>
          <w:szCs w:val="28"/>
        </w:rPr>
        <w:t>本文件编制的牵头单位</w:t>
      </w:r>
      <w:r>
        <w:rPr>
          <w:rFonts w:hint="eastAsia" w:ascii="仿宋" w:hAnsi="仿宋" w:eastAsia="仿宋"/>
          <w:sz w:val="28"/>
          <w:szCs w:val="28"/>
        </w:rPr>
        <w:t>是生态环境部环境规划院，成员单位包括陕西省环境科学研究院、中国地质调查局西安地质调查中心、陕西省中勘环境地质研究中心有限公司、陕西省水工环地质调查中心。</w:t>
      </w:r>
    </w:p>
    <w:p w14:paraId="27463E88">
      <w:pPr>
        <w:pStyle w:val="5"/>
      </w:pPr>
      <w:r>
        <w:rPr>
          <w:rFonts w:hint="eastAsia"/>
        </w:rPr>
        <w:t>2、主要编制人员</w:t>
      </w:r>
    </w:p>
    <w:p w14:paraId="07FA29F5">
      <w:pPr>
        <w:spacing w:line="300" w:lineRule="auto"/>
        <w:ind w:firstLine="562" w:firstLineChars="200"/>
        <w:rPr>
          <w:rFonts w:hint="eastAsia" w:ascii="仿宋" w:hAnsi="仿宋" w:eastAsia="仿宋"/>
          <w:sz w:val="28"/>
          <w:szCs w:val="28"/>
        </w:rPr>
      </w:pPr>
      <w:r>
        <w:rPr>
          <w:rFonts w:hint="eastAsia" w:ascii="仿宋" w:hAnsi="仿宋" w:eastAsia="仿宋"/>
          <w:b/>
          <w:bCs/>
          <w:sz w:val="28"/>
          <w:szCs w:val="28"/>
        </w:rPr>
        <w:t>主要起草人：</w:t>
      </w:r>
      <w:bookmarkStart w:id="20" w:name="_Hlk194590084"/>
      <w:r>
        <w:rPr>
          <w:rFonts w:hint="eastAsia" w:ascii="仿宋" w:hAnsi="仿宋" w:eastAsia="仿宋"/>
          <w:sz w:val="28"/>
          <w:szCs w:val="28"/>
        </w:rPr>
        <w:t>张宗文、张黎明、吴金文、孙宁、孙长顺、徐友宁、乔雄彪、邹天远、芦红、彭小红、陈华清、马晓炜、闫江涛、杨承华、周夏飞、张战胜、杨克俭、彭渊哲、张培栋、党学亚、谢金艳</w:t>
      </w:r>
      <w:bookmarkEnd w:id="20"/>
    </w:p>
    <w:p w14:paraId="08C82BA9">
      <w:pPr>
        <w:pStyle w:val="3"/>
      </w:pPr>
      <w:bookmarkStart w:id="21" w:name="_Toc194590182"/>
      <w:r>
        <w:rPr>
          <w:rFonts w:hint="eastAsia"/>
        </w:rPr>
        <w:t>（四）主要工作过程</w:t>
      </w:r>
      <w:bookmarkEnd w:id="21"/>
    </w:p>
    <w:p w14:paraId="3EE72A17">
      <w:pPr>
        <w:spacing w:line="300" w:lineRule="auto"/>
        <w:ind w:firstLine="562" w:firstLineChars="200"/>
        <w:rPr>
          <w:rFonts w:hint="eastAsia" w:ascii="仿宋" w:hAnsi="仿宋" w:eastAsia="仿宋"/>
          <w:b/>
          <w:bCs/>
          <w:sz w:val="28"/>
          <w:szCs w:val="28"/>
        </w:rPr>
      </w:pPr>
      <w:r>
        <w:rPr>
          <w:rFonts w:hint="eastAsia" w:ascii="仿宋" w:hAnsi="仿宋" w:eastAsia="仿宋"/>
          <w:b/>
          <w:bCs/>
          <w:sz w:val="28"/>
          <w:szCs w:val="28"/>
        </w:rPr>
        <w:t>1、调查研究阶段（2024年3月～2024年4月）</w:t>
      </w:r>
    </w:p>
    <w:p w14:paraId="2444462B">
      <w:pPr>
        <w:spacing w:line="300" w:lineRule="auto"/>
        <w:ind w:firstLine="560" w:firstLineChars="200"/>
        <w:rPr>
          <w:rFonts w:hint="eastAsia" w:ascii="仿宋" w:hAnsi="仿宋" w:eastAsia="仿宋"/>
          <w:sz w:val="28"/>
          <w:szCs w:val="28"/>
        </w:rPr>
      </w:pPr>
      <w:r>
        <w:rPr>
          <w:rFonts w:hint="eastAsia" w:ascii="仿宋" w:hAnsi="仿宋" w:eastAsia="仿宋"/>
          <w:sz w:val="28"/>
          <w:szCs w:val="28"/>
        </w:rPr>
        <w:t>资料收集：2024年4月，接受编制任务后，根据编制标准的需要收集整理了有关法律法规、政策文件、标准规范、工程案例等资料，并对涉金属矿山污染整治典型项目进行现场调研和资料收集。</w:t>
      </w:r>
    </w:p>
    <w:p w14:paraId="28B17AAF">
      <w:pPr>
        <w:spacing w:line="560" w:lineRule="exact"/>
        <w:ind w:firstLine="560" w:firstLineChars="200"/>
        <w:rPr>
          <w:rFonts w:hint="eastAsia" w:ascii="仿宋" w:hAnsi="仿宋" w:eastAsia="仿宋"/>
          <w:sz w:val="28"/>
          <w:szCs w:val="28"/>
        </w:rPr>
      </w:pPr>
      <w:r>
        <w:rPr>
          <w:rFonts w:hint="eastAsia" w:ascii="仿宋" w:hAnsi="仿宋" w:eastAsia="仿宋"/>
          <w:sz w:val="28"/>
          <w:szCs w:val="28"/>
        </w:rPr>
        <w:t>现场调研：2024年5月～2024年7月，编制组成员采用实地调研、类比分析、案例分析、趋势外推等相结合的方法，先后到陕西商洛、安康、湖南冷水江、河南南阳、三门峡、湖北十堰、四川泸州、江西九江、赣州等地近30个历史遗留矿山进行实地调查研究，探讨和总结了不同类型矿山分区评估技术需求、解决思路和风险防控策略。</w:t>
      </w:r>
    </w:p>
    <w:p w14:paraId="3BBC41F9">
      <w:pPr>
        <w:spacing w:line="560" w:lineRule="exact"/>
        <w:ind w:firstLine="562" w:firstLineChars="200"/>
        <w:rPr>
          <w:rFonts w:hint="eastAsia" w:ascii="仿宋" w:hAnsi="仿宋" w:eastAsia="仿宋"/>
          <w:b/>
          <w:bCs/>
          <w:sz w:val="28"/>
          <w:szCs w:val="28"/>
        </w:rPr>
      </w:pPr>
      <w:r>
        <w:rPr>
          <w:rFonts w:hint="eastAsia" w:ascii="仿宋" w:hAnsi="仿宋" w:eastAsia="仿宋"/>
          <w:b/>
          <w:bCs/>
          <w:sz w:val="28"/>
          <w:szCs w:val="28"/>
        </w:rPr>
        <w:t>2、重点问题研究与指南编写阶段（2024年8月～2024年11月）</w:t>
      </w:r>
    </w:p>
    <w:p w14:paraId="525A068A">
      <w:pPr>
        <w:spacing w:line="560" w:lineRule="exact"/>
        <w:ind w:firstLine="560" w:firstLineChars="200"/>
        <w:rPr>
          <w:rFonts w:hint="eastAsia" w:ascii="仿宋" w:hAnsi="仿宋" w:eastAsia="仿宋"/>
          <w:sz w:val="28"/>
          <w:szCs w:val="28"/>
        </w:rPr>
      </w:pPr>
      <w:r>
        <w:rPr>
          <w:rFonts w:hint="eastAsia" w:ascii="仿宋" w:hAnsi="仿宋" w:eastAsia="仿宋"/>
          <w:sz w:val="28"/>
          <w:szCs w:val="28"/>
        </w:rPr>
        <w:t>按照标准编制规范和《</w:t>
      </w:r>
      <w:r>
        <w:rPr>
          <w:rFonts w:ascii="仿宋" w:hAnsi="仿宋" w:eastAsia="仿宋"/>
          <w:sz w:val="28"/>
          <w:szCs w:val="28"/>
        </w:rPr>
        <w:t>涉金属矿山环境污染防治技术指南</w:t>
      </w:r>
      <w:r>
        <w:rPr>
          <w:rFonts w:hint="eastAsia" w:ascii="仿宋" w:hAnsi="仿宋" w:eastAsia="仿宋"/>
          <w:sz w:val="28"/>
          <w:szCs w:val="28"/>
        </w:rPr>
        <w:t xml:space="preserve"> 第1部分：通则》的要求，并结合陕西省涉金属矿山具体情况进行编制。编制组充分分析了陕西省已有评价案例采用的评价指标、评价计算方法的优点、缺点，存在的问题，可借鉴的经验等，经过分析评估后，并未直接全盘采用已有评估案例的方法，而是从污染源-扩散途径-受体保护等风险评估三要素基础理论与环境风险评估方法出发，充分分析和确定每个评价指标，避免已有案例中不同程度的存在部分指标选择不当、指标含义不准确、指标间重复、指标不能准确反映风险含义等问题。在此基础上，经多次研讨，对已有案例方法不断进行优化调整，确定了本文件的适用范围、工作程序、评价指标的选取和评价计算方法等重点问题。与此同时，与系列指南中其他指南内容进行了多次沟通，确保系列指南的一致性、连贯性。在此基础上完成了指南征求意见稿和编制说明。</w:t>
      </w:r>
    </w:p>
    <w:p w14:paraId="0FFC2144">
      <w:pPr>
        <w:spacing w:line="560" w:lineRule="exact"/>
        <w:ind w:firstLine="562" w:firstLineChars="200"/>
        <w:rPr>
          <w:rFonts w:hint="eastAsia" w:ascii="仿宋" w:hAnsi="仿宋" w:eastAsia="仿宋"/>
          <w:b/>
          <w:bCs/>
          <w:sz w:val="28"/>
          <w:szCs w:val="28"/>
        </w:rPr>
      </w:pPr>
      <w:r>
        <w:rPr>
          <w:rFonts w:hint="eastAsia" w:ascii="仿宋" w:hAnsi="仿宋" w:eastAsia="仿宋"/>
          <w:b/>
          <w:bCs/>
          <w:sz w:val="28"/>
          <w:szCs w:val="28"/>
        </w:rPr>
        <w:t>3、标准评审和修改阶段（2024年12月～2025年3月）</w:t>
      </w:r>
    </w:p>
    <w:p w14:paraId="46C640DC">
      <w:pPr>
        <w:spacing w:line="560" w:lineRule="exact"/>
        <w:ind w:firstLine="560" w:firstLineChars="200"/>
        <w:rPr>
          <w:rFonts w:hint="eastAsia" w:ascii="仿宋" w:hAnsi="仿宋" w:eastAsia="仿宋"/>
          <w:sz w:val="28"/>
          <w:szCs w:val="28"/>
        </w:rPr>
      </w:pPr>
      <w:r>
        <w:rPr>
          <w:rFonts w:hint="eastAsia" w:ascii="仿宋" w:hAnsi="仿宋" w:eastAsia="仿宋"/>
          <w:sz w:val="28"/>
          <w:szCs w:val="28"/>
        </w:rPr>
        <w:t>2024年12月，标准（征求意见稿）通过陕西省生态环境保护标准化技术委员会组织的技术审查。标准名称变更为《涉金属矿产开发环境污染防治技术规范 第4部分：分区风险评估及防控策略》。</w:t>
      </w:r>
    </w:p>
    <w:p w14:paraId="7177B970">
      <w:pPr>
        <w:spacing w:line="560" w:lineRule="exact"/>
        <w:ind w:firstLine="560" w:firstLineChars="200"/>
        <w:rPr>
          <w:rFonts w:hint="eastAsia" w:ascii="仿宋" w:hAnsi="仿宋" w:eastAsia="仿宋"/>
          <w:sz w:val="28"/>
          <w:szCs w:val="28"/>
        </w:rPr>
      </w:pPr>
      <w:r>
        <w:rPr>
          <w:rFonts w:hint="eastAsia" w:ascii="仿宋" w:hAnsi="仿宋" w:eastAsia="仿宋"/>
          <w:sz w:val="28"/>
          <w:szCs w:val="28"/>
        </w:rPr>
        <w:t>2025年3月完成修改任务，报陕西省市场监督管理局公开征求意见。</w:t>
      </w:r>
    </w:p>
    <w:p w14:paraId="1463849A">
      <w:pPr>
        <w:pStyle w:val="2"/>
      </w:pPr>
      <w:bookmarkStart w:id="22" w:name="_Toc194590183"/>
      <w:r>
        <w:rPr>
          <w:rFonts w:hint="eastAsia"/>
        </w:rPr>
        <w:t>二、陕西省涉金属矿山环境污染现状和特点分析</w:t>
      </w:r>
      <w:bookmarkEnd w:id="22"/>
    </w:p>
    <w:p w14:paraId="76426EE0">
      <w:pPr>
        <w:spacing w:line="560" w:lineRule="exact"/>
        <w:ind w:firstLine="560" w:firstLineChars="200"/>
        <w:rPr>
          <w:rFonts w:hint="eastAsia" w:ascii="仿宋" w:hAnsi="仿宋" w:eastAsia="仿宋"/>
          <w:sz w:val="28"/>
          <w:szCs w:val="28"/>
        </w:rPr>
      </w:pPr>
      <w:r>
        <w:rPr>
          <w:rFonts w:hint="eastAsia" w:ascii="仿宋" w:hAnsi="仿宋" w:eastAsia="仿宋"/>
          <w:sz w:val="28"/>
          <w:szCs w:val="28"/>
        </w:rPr>
        <w:t>陕西省历史遗留矿区水文地质特征也较为显著。陕西省南北自然条件差异较大，形成陕北黄土高原、关中盆地、陕南秦巴山区三个特征不同的水文地质区。涉金属矿山主要分布的陕南地区褶皱、断裂构造发育，多为中高山和低山丘陵，除零星分布的山间盆地具有第四系松散堆积外，普遍基岩裸露。地下水以风化裂隙水为主，主要赋存在基岩山区浅部地表风化带内，受地形控制明显，主要接受大气降水补给，水量小且随季节变化，绝大部分以基流形式排泄至支沟形成地表径流，少量侧向径流补给河谷区地下水。地表水与地下水联系密切。</w:t>
      </w:r>
    </w:p>
    <w:p w14:paraId="061E34D1">
      <w:pPr>
        <w:spacing w:line="560" w:lineRule="exact"/>
        <w:ind w:firstLine="560" w:firstLineChars="200"/>
        <w:rPr>
          <w:rFonts w:hint="eastAsia" w:ascii="仿宋" w:hAnsi="仿宋" w:eastAsia="仿宋"/>
          <w:sz w:val="28"/>
          <w:szCs w:val="28"/>
        </w:rPr>
      </w:pPr>
      <w:r>
        <w:rPr>
          <w:rFonts w:hint="eastAsia" w:ascii="仿宋" w:hAnsi="仿宋" w:eastAsia="仿宋"/>
          <w:sz w:val="28"/>
          <w:szCs w:val="28"/>
        </w:rPr>
        <w:t>总体来看，陕西南部汉丹江流域所在的汉中、安康、商洛等地级市是我国铁矿、钼矿、金矿等重要的战略性金属矿产资源基地，历史上矿产资源采选活动兴盛，上个世纪因政策性关闭和取缔私挖滥采活动，形成大量历史遗留矿山</w:t>
      </w:r>
      <w:r>
        <w:rPr>
          <w:rFonts w:ascii="仿宋" w:hAnsi="仿宋" w:eastAsia="仿宋"/>
          <w:sz w:val="28"/>
          <w:szCs w:val="28"/>
        </w:rPr>
        <w:t>。据调查，</w:t>
      </w:r>
      <w:r>
        <w:rPr>
          <w:rFonts w:hint="eastAsia" w:ascii="仿宋" w:hAnsi="仿宋" w:eastAsia="仿宋"/>
          <w:sz w:val="28"/>
          <w:szCs w:val="28"/>
        </w:rPr>
        <w:t>陕西南部</w:t>
      </w:r>
      <w:r>
        <w:rPr>
          <w:rFonts w:ascii="仿宋" w:hAnsi="仿宋" w:eastAsia="仿宋"/>
          <w:sz w:val="28"/>
          <w:szCs w:val="28"/>
        </w:rPr>
        <w:t>汉江丹江流域范围内存在涉金属废渣</w:t>
      </w:r>
      <w:r>
        <w:rPr>
          <w:rFonts w:hint="eastAsia" w:ascii="仿宋" w:hAnsi="仿宋" w:eastAsia="仿宋"/>
          <w:sz w:val="28"/>
          <w:szCs w:val="28"/>
        </w:rPr>
        <w:t>约</w:t>
      </w:r>
      <w:r>
        <w:rPr>
          <w:rFonts w:ascii="仿宋" w:hAnsi="仿宋" w:eastAsia="仿宋"/>
          <w:sz w:val="28"/>
          <w:szCs w:val="28"/>
        </w:rPr>
        <w:t>1200余处，堆存量</w:t>
      </w:r>
      <w:r>
        <w:rPr>
          <w:rFonts w:hint="eastAsia" w:ascii="仿宋" w:hAnsi="仿宋" w:eastAsia="仿宋"/>
          <w:sz w:val="28"/>
          <w:szCs w:val="28"/>
        </w:rPr>
        <w:t>约</w:t>
      </w:r>
      <w:r>
        <w:rPr>
          <w:rFonts w:ascii="仿宋" w:hAnsi="仿宋" w:eastAsia="仿宋"/>
          <w:sz w:val="28"/>
          <w:szCs w:val="28"/>
        </w:rPr>
        <w:t>3000万m</w:t>
      </w:r>
      <w:r>
        <w:rPr>
          <w:rFonts w:ascii="仿宋" w:hAnsi="仿宋" w:eastAsia="仿宋"/>
          <w:sz w:val="28"/>
          <w:szCs w:val="28"/>
          <w:vertAlign w:val="superscript"/>
        </w:rPr>
        <w:t>3</w:t>
      </w:r>
      <w:r>
        <w:rPr>
          <w:rFonts w:ascii="仿宋" w:hAnsi="仿宋" w:eastAsia="仿宋"/>
          <w:sz w:val="28"/>
          <w:szCs w:val="28"/>
        </w:rPr>
        <w:t>左右，其中</w:t>
      </w:r>
      <w:r>
        <w:rPr>
          <w:rFonts w:hint="eastAsia" w:ascii="仿宋" w:hAnsi="仿宋" w:eastAsia="仿宋"/>
          <w:sz w:val="28"/>
          <w:szCs w:val="28"/>
        </w:rPr>
        <w:t>约650</w:t>
      </w:r>
      <w:r>
        <w:rPr>
          <w:rFonts w:ascii="仿宋" w:hAnsi="仿宋" w:eastAsia="仿宋"/>
          <w:sz w:val="28"/>
          <w:szCs w:val="28"/>
        </w:rPr>
        <w:t>万m</w:t>
      </w:r>
      <w:r>
        <w:rPr>
          <w:rFonts w:ascii="仿宋" w:hAnsi="仿宋" w:eastAsia="仿宋"/>
          <w:sz w:val="28"/>
          <w:szCs w:val="28"/>
          <w:vertAlign w:val="superscript"/>
        </w:rPr>
        <w:t>3</w:t>
      </w:r>
      <w:r>
        <w:rPr>
          <w:rFonts w:ascii="仿宋" w:hAnsi="仿宋" w:eastAsia="仿宋"/>
          <w:sz w:val="28"/>
          <w:szCs w:val="28"/>
        </w:rPr>
        <w:t>废渣底部存在着明显渗水，以硫酸盐、氟化物、铜、锌、镍、铁、锰、铊等为主要污染物，显酸性的矿</w:t>
      </w:r>
      <w:r>
        <w:rPr>
          <w:rFonts w:hint="eastAsia" w:ascii="仿宋" w:hAnsi="仿宋" w:eastAsia="仿宋"/>
          <w:sz w:val="28"/>
          <w:szCs w:val="28"/>
        </w:rPr>
        <w:t>硐</w:t>
      </w:r>
      <w:r>
        <w:rPr>
          <w:rFonts w:ascii="仿宋" w:hAnsi="仿宋" w:eastAsia="仿宋"/>
          <w:sz w:val="28"/>
          <w:szCs w:val="28"/>
        </w:rPr>
        <w:t>涌水中pH、镉、镍、铝、铁、锰、铜、锌、铊和硫酸盐等</w:t>
      </w:r>
      <w:r>
        <w:rPr>
          <w:rFonts w:hint="eastAsia" w:ascii="仿宋" w:hAnsi="仿宋" w:eastAsia="仿宋"/>
          <w:sz w:val="28"/>
          <w:szCs w:val="28"/>
        </w:rPr>
        <w:t>污染物浓度相对较高</w:t>
      </w:r>
      <w:r>
        <w:rPr>
          <w:rFonts w:ascii="仿宋" w:hAnsi="仿宋" w:eastAsia="仿宋"/>
          <w:sz w:val="28"/>
          <w:szCs w:val="28"/>
        </w:rPr>
        <w:t>。</w:t>
      </w:r>
      <w:r>
        <w:rPr>
          <w:rFonts w:hint="eastAsia" w:ascii="仿宋" w:hAnsi="仿宋" w:eastAsia="仿宋"/>
          <w:sz w:val="28"/>
          <w:szCs w:val="28"/>
        </w:rPr>
        <w:t>废弃矿区污染源有废渣、矿硐、尾矿库、废水、废弃采选场地等，其中主要风险源为废渣（含采矿剥离废石、选矿尾矿）和矿硐。大量露天无序堆放的废渣淋溶废水、矿硐涌水等，不同程度呈现酸性，镉、锌、铁、锰、锑等涉金属污染物浓度较高，汇入附近河流造成汉丹江流域三级、四级及以上支流（沟）中重金属特征污染物含量较高，部分河道水质超标，感观较差，部分地区土壤和地下水等环境介质也受到污染。</w:t>
      </w:r>
      <w:r>
        <w:rPr>
          <w:rFonts w:ascii="仿宋" w:hAnsi="仿宋" w:eastAsia="仿宋"/>
          <w:sz w:val="28"/>
          <w:szCs w:val="28"/>
        </w:rPr>
        <w:t>流域内历史遗留无主需政府承担整治任务的和长期停产企业无力承担整治任务的废渣堆存体积占总堆存体积的74.5%，</w:t>
      </w:r>
      <w:r>
        <w:rPr>
          <w:rFonts w:hint="eastAsia" w:ascii="仿宋" w:hAnsi="仿宋" w:eastAsia="仿宋"/>
          <w:sz w:val="28"/>
          <w:szCs w:val="28"/>
        </w:rPr>
        <w:t>涉金属废渣</w:t>
      </w:r>
      <w:r>
        <w:rPr>
          <w:rFonts w:ascii="仿宋" w:hAnsi="仿宋" w:eastAsia="仿宋"/>
          <w:sz w:val="28"/>
          <w:szCs w:val="28"/>
        </w:rPr>
        <w:t>整治任务繁重。</w:t>
      </w:r>
      <w:r>
        <w:rPr>
          <w:rFonts w:hint="eastAsia" w:ascii="仿宋" w:hAnsi="仿宋" w:eastAsia="仿宋"/>
          <w:sz w:val="28"/>
          <w:szCs w:val="28"/>
        </w:rPr>
        <w:t>实际工作中以一条支沟为单位开展历史遗留矿山的污染防治，从防控一条支沟内污染源对该支沟水质的环境风险为出发点，将该支沟内的污染源视同为一个整体，分析对该支沟水质的环境影响和环境风险。</w:t>
      </w:r>
    </w:p>
    <w:p w14:paraId="4C7D6176">
      <w:pPr>
        <w:pStyle w:val="2"/>
      </w:pPr>
      <w:bookmarkStart w:id="23" w:name="_Toc194590184"/>
      <w:r>
        <w:rPr>
          <w:rFonts w:hint="eastAsia"/>
        </w:rPr>
        <w:t>三、风险评估技术方法现状分析</w:t>
      </w:r>
      <w:bookmarkEnd w:id="23"/>
    </w:p>
    <w:p w14:paraId="683B320B">
      <w:pPr>
        <w:pStyle w:val="3"/>
      </w:pPr>
      <w:bookmarkStart w:id="24" w:name="_Toc194590185"/>
      <w:r>
        <w:rPr>
          <w:rFonts w:hint="eastAsia"/>
        </w:rPr>
        <w:t>（一）风险评估三要素</w:t>
      </w:r>
      <w:bookmarkEnd w:id="24"/>
    </w:p>
    <w:p w14:paraId="1BF798A9">
      <w:pPr>
        <w:spacing w:line="560" w:lineRule="exact"/>
        <w:ind w:firstLine="560" w:firstLineChars="200"/>
        <w:rPr>
          <w:rFonts w:hint="eastAsia" w:ascii="仿宋" w:hAnsi="仿宋" w:eastAsia="仿宋"/>
          <w:kern w:val="44"/>
          <w:sz w:val="28"/>
          <w:szCs w:val="28"/>
        </w:rPr>
      </w:pPr>
      <w:r>
        <w:rPr>
          <w:rFonts w:hint="eastAsia" w:ascii="仿宋" w:hAnsi="仿宋" w:eastAsia="仿宋"/>
          <w:kern w:val="44"/>
          <w:sz w:val="28"/>
          <w:szCs w:val="28"/>
        </w:rPr>
        <w:t>环境风险评估三要素是指污染源、污染路径和环境受体，，污染物来源包括污染物类别、污染物浓度、处理时间及位置等，污染路径包括污染物迁移介质、迁移速率和迁移时间等，受体包括受体的类型、数量、敏感度以及对污染物的耐受浓度等。三要素是构成环境风险的必要条件，只有三要素同时存在，才能构成环境风险，见图3-1。</w:t>
      </w:r>
    </w:p>
    <w:p w14:paraId="04A850C8">
      <w:pPr>
        <w:jc w:val="center"/>
        <w:rPr>
          <w:rFonts w:hint="eastAsia" w:ascii="仿宋" w:hAnsi="仿宋" w:eastAsia="仿宋"/>
          <w:kern w:val="44"/>
          <w:sz w:val="28"/>
          <w:szCs w:val="28"/>
        </w:rPr>
      </w:pPr>
      <w:r>
        <w:rPr>
          <w:rFonts w:ascii="仿宋" w:hAnsi="仿宋" w:eastAsia="仿宋"/>
          <w:kern w:val="44"/>
          <w:sz w:val="28"/>
          <w:szCs w:val="28"/>
        </w:rPr>
        <w:drawing>
          <wp:inline distT="0" distB="0" distL="0" distR="0">
            <wp:extent cx="2296795" cy="2135505"/>
            <wp:effectExtent l="0" t="0" r="8255" b="0"/>
            <wp:docPr id="10023793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79335" name="图片 1"/>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96795" cy="2135505"/>
                    </a:xfrm>
                    <a:prstGeom prst="rect">
                      <a:avLst/>
                    </a:prstGeom>
                  </pic:spPr>
                </pic:pic>
              </a:graphicData>
            </a:graphic>
          </wp:inline>
        </w:drawing>
      </w:r>
    </w:p>
    <w:p w14:paraId="482FC3C6">
      <w:pPr>
        <w:spacing w:line="560" w:lineRule="exact"/>
        <w:jc w:val="center"/>
        <w:rPr>
          <w:rFonts w:hint="eastAsia" w:ascii="仿宋" w:hAnsi="仿宋" w:eastAsia="仿宋"/>
          <w:b/>
          <w:bCs/>
          <w:kern w:val="44"/>
          <w:sz w:val="24"/>
          <w:szCs w:val="24"/>
        </w:rPr>
      </w:pPr>
      <w:r>
        <w:rPr>
          <w:rFonts w:hint="eastAsia" w:ascii="仿宋" w:hAnsi="仿宋" w:eastAsia="仿宋"/>
          <w:b/>
          <w:bCs/>
          <w:kern w:val="44"/>
          <w:sz w:val="24"/>
          <w:szCs w:val="24"/>
        </w:rPr>
        <w:t>图 3-1 风险评估三要素的风险形成示意图</w:t>
      </w:r>
    </w:p>
    <w:p w14:paraId="38A08E6B">
      <w:pPr>
        <w:spacing w:line="560" w:lineRule="exact"/>
        <w:ind w:firstLine="560" w:firstLineChars="200"/>
        <w:rPr>
          <w:rFonts w:hint="eastAsia" w:ascii="仿宋" w:hAnsi="仿宋" w:eastAsia="仿宋"/>
          <w:kern w:val="44"/>
          <w:sz w:val="28"/>
          <w:szCs w:val="28"/>
        </w:rPr>
      </w:pPr>
      <w:r>
        <w:rPr>
          <w:rFonts w:hint="eastAsia" w:ascii="仿宋" w:hAnsi="仿宋" w:eastAsia="仿宋"/>
          <w:kern w:val="44"/>
          <w:sz w:val="28"/>
          <w:szCs w:val="28"/>
        </w:rPr>
        <w:t>基于三要素的风险评估理论和方法是国内外通行的风险评估基础理论和方法。本文件在制定过程中，也是遵循该基础理论和方法。</w:t>
      </w:r>
    </w:p>
    <w:p w14:paraId="2B7953BB">
      <w:pPr>
        <w:pStyle w:val="3"/>
      </w:pPr>
      <w:bookmarkStart w:id="25" w:name="_Toc194590186"/>
      <w:r>
        <w:rPr>
          <w:rFonts w:hint="eastAsia"/>
        </w:rPr>
        <w:t>（二）国外风险评估发展现状</w:t>
      </w:r>
      <w:bookmarkEnd w:id="25"/>
    </w:p>
    <w:p w14:paraId="739B9025">
      <w:pPr>
        <w:spacing w:line="560" w:lineRule="exact"/>
        <w:ind w:firstLine="560" w:firstLineChars="200"/>
        <w:rPr>
          <w:rFonts w:hint="eastAsia" w:ascii="仿宋" w:hAnsi="仿宋" w:eastAsia="仿宋"/>
          <w:kern w:val="44"/>
          <w:sz w:val="28"/>
          <w:szCs w:val="28"/>
        </w:rPr>
      </w:pPr>
      <w:r>
        <w:rPr>
          <w:rFonts w:hint="eastAsia" w:ascii="仿宋" w:hAnsi="仿宋" w:eastAsia="仿宋"/>
          <w:kern w:val="44"/>
          <w:sz w:val="28"/>
          <w:szCs w:val="28"/>
        </w:rPr>
        <w:t>发达国家在环境风险评价和管理上起步较早，自美国国会通过《综合环境响应补偿与责任法》（CERCLA），又称《超级基金法》后，美国国家环境保护局（US EPA）就相继出台了系列场地环境调查和风险评估技术导则， 1989年发布了《超级基金场地风险评估导则第一卷健康风险评估手册》，详细规定了开展超级基金污染场地风险评估的技术方法，即包括场地数据采集整理与分析、暴露评估、毒性评估和风险表征的四步评估法。1995年，美国材料与试验协会（ASTM）出台了《石油泄漏场地基于风险的纠正行动标准导则》以及《建立污染场地概念暴露模型的标准导则》，并分别于2002年和2003年重新审定。1996年，美国环保署发布了基于污染土壤健康风险评估方法确定土壤筛选值的技术导则，2001年发布了补充技术导则文件，建立了基于健康风险评估确定住宅、商业和工业等用地方式下土壤筛选值的技术方法。2002年，英国环境署发布了《污染土地暴露评估模型：技术基础和算法》、《污染土地管理的模型评估方法》等系列技术文件，初步建立了英国污染土地风险评估的框架体系，2009年经修订后发布了最新的污染土地健康风险评估的技术方法。1994年，荷兰研究提出了开展污染土壤健康风险评估的技术方法，探讨了人群对土壤污染的暴露途径及模型评估方法，并将该方法用于保护人体健康的土壤基准的制定，2008年荷兰环境部修订印发了最新的污染土壤风险管理和修复技术文件。上述方法总体而言是针对人体健康而采取的风险评估的技术方法，该方法不能直接适用于矿山环境风险的评估，但其中包含的风险评估总体思路、风险评估技术流程等还是值的借鉴的。</w:t>
      </w:r>
    </w:p>
    <w:p w14:paraId="12BBB657">
      <w:pPr>
        <w:spacing w:line="560" w:lineRule="exact"/>
        <w:ind w:firstLine="560" w:firstLineChars="200"/>
        <w:rPr>
          <w:rFonts w:hint="eastAsia" w:ascii="仿宋" w:hAnsi="仿宋" w:eastAsia="仿宋"/>
          <w:kern w:val="44"/>
          <w:sz w:val="28"/>
          <w:szCs w:val="28"/>
        </w:rPr>
      </w:pPr>
      <w:r>
        <w:rPr>
          <w:rFonts w:hint="eastAsia" w:ascii="仿宋" w:hAnsi="仿宋" w:eastAsia="仿宋"/>
          <w:kern w:val="44"/>
          <w:sz w:val="28"/>
          <w:szCs w:val="28"/>
        </w:rPr>
        <w:t>2006 年，European Neighborhood and Partnership Instrument （ENPI）编写了“尾矿堆场环境和健康风险评估方法”，该方法提供了尾矿堆场风险评估的基本原则和基本框架。根据堆场风险评估的复杂性，制定了分步进行、逐级深入的评估程序。风险评估分为三个阶段：初步风险评估 （Preliminary risk assessment）、一般定量风险评估 （Generic quantitative risk assessment）、详细定量风险评估 （Detailed quantitative risk assessment）。初步风险评估包括确定风险评估内容和目标、收集尾矿库和周围环境的相关信息、形成环境风险三要素的详细信息、确定潜在不可接受风险的可能性等。随后的一般定量和详细定量评估阶段对风险进行量化，往往需要大量的数据标准作为评判依据。通过定量分析，确定风险的来源以及风险后果的程度。虽然每种评估的基本内容相似，包括建立污染物源数据库、分析不可接受风险的可能性、预测风险后果的量级和可能性、确定风险能否接受，但三者呈现了一种递进关系，使对风险的认识更加具体和准确。尾矿库风险评估的目的是为尾矿库的管理提出减少风险发生的建议，因此此方法的最后一步是提出修复方法并对其可行性进行评价，主要包括提出可行的修复选择、对修复技术进行详细评估、建立合理的修复策略。</w:t>
      </w:r>
    </w:p>
    <w:p w14:paraId="63D40715">
      <w:pPr>
        <w:spacing w:line="560" w:lineRule="exact"/>
        <w:ind w:firstLine="560" w:firstLineChars="200"/>
        <w:rPr>
          <w:rFonts w:hint="eastAsia" w:ascii="仿宋" w:hAnsi="仿宋" w:eastAsia="仿宋"/>
          <w:kern w:val="44"/>
          <w:sz w:val="28"/>
          <w:szCs w:val="28"/>
        </w:rPr>
      </w:pPr>
      <w:r>
        <w:rPr>
          <w:rFonts w:hint="eastAsia" w:ascii="仿宋" w:hAnsi="仿宋" w:eastAsia="仿宋"/>
          <w:kern w:val="44"/>
          <w:sz w:val="28"/>
          <w:szCs w:val="28"/>
        </w:rPr>
        <w:t>由上分析可知，发达国家环境风险管理体系较为成熟，且主要集中在污染场地对人体的健康风险评估，专门针对历史遗留矿山环境风险评估和分级分类管理的规定仍然很少。</w:t>
      </w:r>
    </w:p>
    <w:p w14:paraId="04AF5446">
      <w:pPr>
        <w:pStyle w:val="3"/>
      </w:pPr>
      <w:bookmarkStart w:id="26" w:name="_Toc194590187"/>
      <w:r>
        <w:rPr>
          <w:rFonts w:hint="eastAsia"/>
        </w:rPr>
        <w:t>（三）国内发展现状</w:t>
      </w:r>
      <w:bookmarkEnd w:id="26"/>
    </w:p>
    <w:p w14:paraId="1A40C1DF">
      <w:pPr>
        <w:spacing w:line="560" w:lineRule="exact"/>
        <w:ind w:firstLine="560" w:firstLineChars="200"/>
        <w:rPr>
          <w:rFonts w:hint="eastAsia" w:ascii="仿宋" w:hAnsi="仿宋" w:eastAsia="仿宋"/>
          <w:bCs/>
          <w:sz w:val="28"/>
          <w:szCs w:val="28"/>
        </w:rPr>
      </w:pPr>
      <w:r>
        <w:rPr>
          <w:rFonts w:hint="eastAsia" w:ascii="仿宋" w:hAnsi="仿宋" w:eastAsia="仿宋"/>
          <w:bCs/>
          <w:sz w:val="28"/>
          <w:szCs w:val="28"/>
        </w:rPr>
        <w:t>我国环境风险研究开始于20世纪80年代，经过数年的发展，我国已经制定了一些防范环境风险有关的法律法规，主要有《突发事件应对法》、《建设项目环境风险评价技术导则》、《国家突发环境事件应急预案》、《建设用地土壤污染风险评估技术导则》、《生态环境健康风险评估技术指南》、</w:t>
      </w:r>
      <w:r>
        <w:rPr>
          <w:rFonts w:ascii="仿宋" w:hAnsi="仿宋" w:eastAsia="仿宋" w:cs="黑体"/>
          <w:sz w:val="28"/>
          <w:szCs w:val="28"/>
        </w:rPr>
        <w:t>《行政区域突发环境事件风险评估推荐方法》</w:t>
      </w:r>
      <w:r>
        <w:rPr>
          <w:rFonts w:hint="eastAsia" w:ascii="仿宋" w:hAnsi="仿宋" w:eastAsia="仿宋" w:cs="黑体"/>
          <w:sz w:val="28"/>
          <w:szCs w:val="28"/>
        </w:rPr>
        <w:t>（环办应急〔2018〕9号）</w:t>
      </w:r>
      <w:r>
        <w:rPr>
          <w:rFonts w:hint="eastAsia" w:ascii="仿宋" w:hAnsi="仿宋" w:eastAsia="仿宋"/>
          <w:bCs/>
          <w:sz w:val="28"/>
          <w:szCs w:val="28"/>
        </w:rPr>
        <w:t>等。</w:t>
      </w:r>
    </w:p>
    <w:p w14:paraId="62505445">
      <w:pPr>
        <w:spacing w:line="560" w:lineRule="exact"/>
        <w:ind w:firstLine="560" w:firstLineChars="200"/>
        <w:rPr>
          <w:rFonts w:hint="eastAsia" w:ascii="仿宋" w:hAnsi="仿宋" w:eastAsia="仿宋"/>
          <w:bCs/>
          <w:sz w:val="28"/>
          <w:szCs w:val="28"/>
        </w:rPr>
      </w:pPr>
      <w:r>
        <w:rPr>
          <w:rFonts w:hint="eastAsia" w:ascii="仿宋" w:hAnsi="仿宋" w:eastAsia="仿宋"/>
          <w:bCs/>
          <w:sz w:val="28"/>
          <w:szCs w:val="28"/>
        </w:rPr>
        <w:t>总体而言，这些技术方法是针对人体健康的风险评估方法，并不能直接适用于矿山污染风险防控。</w:t>
      </w:r>
      <w:r>
        <w:rPr>
          <w:rFonts w:ascii="仿宋" w:hAnsi="仿宋" w:eastAsia="仿宋" w:cs="黑体"/>
          <w:sz w:val="28"/>
          <w:szCs w:val="28"/>
        </w:rPr>
        <w:t>《行政区域突发环境事件风险评估推荐方法》</w:t>
      </w:r>
      <w:r>
        <w:rPr>
          <w:rFonts w:hint="eastAsia" w:ascii="仿宋" w:hAnsi="仿宋" w:eastAsia="仿宋"/>
          <w:bCs/>
          <w:sz w:val="28"/>
          <w:szCs w:val="28"/>
        </w:rPr>
        <w:t>提出了</w:t>
      </w:r>
      <w:r>
        <w:rPr>
          <w:rFonts w:hint="eastAsia" w:ascii="仿宋" w:hAnsi="仿宋" w:eastAsia="仿宋"/>
          <w:b/>
          <w:sz w:val="28"/>
          <w:szCs w:val="28"/>
        </w:rPr>
        <w:t>环</w:t>
      </w:r>
      <w:r>
        <w:rPr>
          <w:rFonts w:hint="eastAsia" w:ascii="仿宋" w:hAnsi="仿宋" w:eastAsia="仿宋" w:cs="黑体"/>
          <w:sz w:val="28"/>
          <w:szCs w:val="28"/>
        </w:rPr>
        <w:t>境风险指数法和网格化法等两种区域尺度的环境风险评估方法，环境风险指数法从环境风险源、风险受体、环境风险防控管理能力等三个方面共同表征一个区域总体的风险水平，网格化法则是将被评价的区域按照一定地理空间划分为不同的若干网格，以网格为单元进行环境风险大小的量化计算。环境风险指数法也是从被评价的相应维度出发建立相应的评估指标，但其选择的是环境风险源、风险受体、环境风险防</w:t>
      </w:r>
      <w:r>
        <w:rPr>
          <w:rFonts w:hint="eastAsia" w:ascii="仿宋" w:hAnsi="仿宋" w:eastAsia="仿宋"/>
          <w:bCs/>
          <w:sz w:val="28"/>
          <w:szCs w:val="28"/>
        </w:rPr>
        <w:t>控管理能力等三个维度，与环境风险三要素不尽相同。</w:t>
      </w:r>
    </w:p>
    <w:p w14:paraId="59C5DF20">
      <w:pPr>
        <w:spacing w:line="560" w:lineRule="exact"/>
        <w:ind w:firstLine="560" w:firstLineChars="200"/>
        <w:rPr>
          <w:rFonts w:hint="eastAsia" w:ascii="仿宋" w:hAnsi="仿宋" w:eastAsia="仿宋" w:cs="黑体"/>
          <w:sz w:val="28"/>
          <w:szCs w:val="28"/>
        </w:rPr>
      </w:pPr>
      <w:r>
        <w:rPr>
          <w:rFonts w:hint="eastAsia" w:ascii="仿宋" w:hAnsi="仿宋" w:eastAsia="仿宋" w:cs="黑体"/>
          <w:sz w:val="28"/>
          <w:szCs w:val="28"/>
        </w:rPr>
        <w:t>目前，陕西省、国家层面和国内其他各省均未发布过针对涉金属矿山（区）风险评估和分区管控方面的技术性文件。各地在针对涉金属矿山污染风险评估的实践过程中，结合不同目的和现实需求，针对不同类型的评价对象，采用了一定的技术方法，汇总如表3-1所示。分析后认为：序号1的方法主要适用于大尺度矿区风险防控区域的划定和风险防控区环境风险的评价，本文件提出的污染风险单元的空间尺度比该大矿区尺度明显缩小，所以可借鉴序号1的思路方法，但不能完全采用该方法。序号2提出的方法思路总体可借鉴，但分析选取的评价指标从现在来看仍存在指标含义不够明确、指标间含义重复等问题，不能完全照搬，需要进行优化调整。序号3所示方法较为简单，科学性合理性有所欠缺，不能直接使用。序号4和5所示方法是针对矿山地下水环境风险和矿区废渣进行评价，构建评价指标体系时是从污染源-扩散途径-受体保护的风险评估三要素出发的，建立的评价指标经过了省级专家论证，指标选取具有较好的可参考性。序号6所示方法与序号2所示方法思路总体类似，但选取的指标和序号2所示方法不尽相同，也存在指标含义不够清晰、指标重复等问题。序号7所示方法主要针对污染源，没有对区域进行风险评估，对污染源风险评估使用的评价指标也存在前述问题。</w:t>
      </w:r>
    </w:p>
    <w:p w14:paraId="23ECECB8">
      <w:pPr>
        <w:spacing w:line="560" w:lineRule="exact"/>
        <w:ind w:firstLine="560" w:firstLineChars="200"/>
        <w:rPr>
          <w:rFonts w:hint="eastAsia" w:ascii="仿宋" w:hAnsi="仿宋" w:eastAsia="仿宋" w:cs="黑体"/>
          <w:sz w:val="28"/>
          <w:szCs w:val="28"/>
        </w:rPr>
      </w:pPr>
      <w:r>
        <w:rPr>
          <w:rFonts w:hint="eastAsia" w:ascii="仿宋" w:hAnsi="仿宋" w:eastAsia="仿宋"/>
          <w:bCs/>
          <w:sz w:val="28"/>
          <w:szCs w:val="28"/>
        </w:rPr>
        <w:t>涉重金属矿山环境风险因素较为复杂，难以像工业企业那样只需要采用污染物的毒性等少数指标就可以表征其环境风险，</w:t>
      </w:r>
      <w:r>
        <w:rPr>
          <w:rFonts w:hint="eastAsia" w:ascii="仿宋" w:hAnsi="仿宋" w:eastAsia="仿宋" w:cs="黑体"/>
          <w:sz w:val="28"/>
          <w:szCs w:val="28"/>
        </w:rPr>
        <w:t>需要结合解决的主要问题、制定目的等因素，从陕西涉金属矿区实际情况出发，科学、合理、有针对性选取评价指标，这是本风险评估方法建立的关键环节。</w:t>
      </w:r>
    </w:p>
    <w:p w14:paraId="7761B8CA">
      <w:pPr>
        <w:ind w:firstLine="560" w:firstLineChars="200"/>
        <w:rPr>
          <w:rFonts w:hint="eastAsia" w:ascii="仿宋" w:hAnsi="仿宋" w:eastAsia="仿宋" w:cs="黑体"/>
          <w:sz w:val="28"/>
          <w:szCs w:val="28"/>
        </w:rPr>
        <w:sectPr>
          <w:footerReference r:id="rId7" w:type="default"/>
          <w:pgSz w:w="11906" w:h="16838"/>
          <w:pgMar w:top="1440" w:right="1797" w:bottom="1440" w:left="1797" w:header="851" w:footer="992" w:gutter="0"/>
          <w:pgNumType w:start="1"/>
          <w:cols w:space="720" w:num="1"/>
          <w:docGrid w:type="lines" w:linePitch="312" w:charSpace="0"/>
        </w:sectPr>
      </w:pPr>
    </w:p>
    <w:p w14:paraId="02ED6F1B">
      <w:pPr>
        <w:jc w:val="center"/>
        <w:rPr>
          <w:rFonts w:hint="eastAsia" w:ascii="仿宋" w:hAnsi="仿宋" w:eastAsia="仿宋"/>
          <w:b/>
          <w:sz w:val="24"/>
          <w:szCs w:val="24"/>
        </w:rPr>
      </w:pPr>
      <w:r>
        <w:rPr>
          <w:rFonts w:hint="eastAsia" w:ascii="仿宋" w:hAnsi="仿宋" w:eastAsia="仿宋"/>
          <w:b/>
          <w:sz w:val="24"/>
          <w:szCs w:val="24"/>
        </w:rPr>
        <w:t>表3-1   国内矿山污染风险评估案例方法分析</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53"/>
        <w:gridCol w:w="2855"/>
        <w:gridCol w:w="1638"/>
        <w:gridCol w:w="1104"/>
        <w:gridCol w:w="7118"/>
      </w:tblGrid>
      <w:tr w14:paraId="4D3F3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567" w:type="dxa"/>
            <w:shd w:val="clear" w:color="auto" w:fill="auto"/>
            <w:tcMar>
              <w:top w:w="15" w:type="dxa"/>
              <w:left w:w="15" w:type="dxa"/>
              <w:bottom w:w="0" w:type="dxa"/>
              <w:right w:w="15" w:type="dxa"/>
            </w:tcMar>
            <w:vAlign w:val="center"/>
          </w:tcPr>
          <w:p w14:paraId="17D0423D">
            <w:pPr>
              <w:jc w:val="center"/>
              <w:rPr>
                <w:rFonts w:eastAsia="仿宋"/>
                <w:sz w:val="24"/>
                <w:szCs w:val="24"/>
              </w:rPr>
            </w:pPr>
            <w:r>
              <w:rPr>
                <w:rFonts w:eastAsia="仿宋"/>
                <w:b/>
                <w:bCs/>
                <w:sz w:val="24"/>
                <w:szCs w:val="24"/>
              </w:rPr>
              <w:t>序号</w:t>
            </w:r>
          </w:p>
        </w:tc>
        <w:tc>
          <w:tcPr>
            <w:tcW w:w="2972" w:type="dxa"/>
            <w:shd w:val="clear" w:color="auto" w:fill="auto"/>
            <w:tcMar>
              <w:top w:w="15" w:type="dxa"/>
              <w:left w:w="15" w:type="dxa"/>
              <w:bottom w:w="0" w:type="dxa"/>
              <w:right w:w="15" w:type="dxa"/>
            </w:tcMar>
            <w:vAlign w:val="center"/>
          </w:tcPr>
          <w:p w14:paraId="2B89DE4D">
            <w:pPr>
              <w:jc w:val="center"/>
              <w:rPr>
                <w:rFonts w:eastAsia="仿宋"/>
                <w:sz w:val="24"/>
                <w:szCs w:val="24"/>
              </w:rPr>
            </w:pPr>
            <w:r>
              <w:rPr>
                <w:rFonts w:eastAsia="仿宋"/>
                <w:b/>
                <w:bCs/>
                <w:sz w:val="24"/>
                <w:szCs w:val="24"/>
              </w:rPr>
              <w:t>项目名称</w:t>
            </w:r>
          </w:p>
        </w:tc>
        <w:tc>
          <w:tcPr>
            <w:tcW w:w="1706" w:type="dxa"/>
            <w:shd w:val="clear" w:color="auto" w:fill="auto"/>
            <w:tcMar>
              <w:top w:w="15" w:type="dxa"/>
              <w:left w:w="15" w:type="dxa"/>
              <w:bottom w:w="0" w:type="dxa"/>
              <w:right w:w="15" w:type="dxa"/>
            </w:tcMar>
            <w:vAlign w:val="center"/>
          </w:tcPr>
          <w:p w14:paraId="6321F607">
            <w:pPr>
              <w:jc w:val="center"/>
              <w:rPr>
                <w:rFonts w:eastAsia="仿宋"/>
                <w:sz w:val="24"/>
                <w:szCs w:val="24"/>
              </w:rPr>
            </w:pPr>
            <w:r>
              <w:rPr>
                <w:rFonts w:eastAsia="仿宋"/>
                <w:b/>
                <w:bCs/>
                <w:sz w:val="24"/>
                <w:szCs w:val="24"/>
              </w:rPr>
              <w:t>实施单位</w:t>
            </w:r>
          </w:p>
        </w:tc>
        <w:tc>
          <w:tcPr>
            <w:tcW w:w="1134" w:type="dxa"/>
            <w:shd w:val="clear" w:color="auto" w:fill="auto"/>
            <w:tcMar>
              <w:top w:w="15" w:type="dxa"/>
              <w:left w:w="15" w:type="dxa"/>
              <w:bottom w:w="0" w:type="dxa"/>
              <w:right w:w="15" w:type="dxa"/>
            </w:tcMar>
            <w:vAlign w:val="center"/>
          </w:tcPr>
          <w:p w14:paraId="28E86461">
            <w:pPr>
              <w:jc w:val="center"/>
              <w:rPr>
                <w:rFonts w:eastAsia="仿宋"/>
                <w:sz w:val="24"/>
                <w:szCs w:val="24"/>
              </w:rPr>
            </w:pPr>
            <w:r>
              <w:rPr>
                <w:rFonts w:eastAsia="仿宋"/>
                <w:b/>
                <w:bCs/>
                <w:sz w:val="24"/>
                <w:szCs w:val="24"/>
              </w:rPr>
              <w:t>评估对象</w:t>
            </w:r>
          </w:p>
        </w:tc>
        <w:tc>
          <w:tcPr>
            <w:tcW w:w="7421" w:type="dxa"/>
            <w:shd w:val="clear" w:color="auto" w:fill="auto"/>
            <w:tcMar>
              <w:top w:w="15" w:type="dxa"/>
              <w:left w:w="15" w:type="dxa"/>
              <w:bottom w:w="0" w:type="dxa"/>
              <w:right w:w="15" w:type="dxa"/>
            </w:tcMar>
            <w:vAlign w:val="center"/>
          </w:tcPr>
          <w:p w14:paraId="765F9E0C">
            <w:pPr>
              <w:jc w:val="center"/>
              <w:rPr>
                <w:rFonts w:eastAsia="仿宋"/>
                <w:sz w:val="24"/>
                <w:szCs w:val="24"/>
              </w:rPr>
            </w:pPr>
            <w:r>
              <w:rPr>
                <w:rFonts w:eastAsia="仿宋"/>
                <w:b/>
                <w:bCs/>
                <w:sz w:val="24"/>
                <w:szCs w:val="24"/>
              </w:rPr>
              <w:t>评估体系或方法</w:t>
            </w:r>
          </w:p>
        </w:tc>
      </w:tr>
      <w:tr w14:paraId="3192F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567" w:type="dxa"/>
            <w:shd w:val="clear" w:color="auto" w:fill="auto"/>
            <w:tcMar>
              <w:top w:w="15" w:type="dxa"/>
              <w:left w:w="15" w:type="dxa"/>
              <w:bottom w:w="0" w:type="dxa"/>
              <w:right w:w="15" w:type="dxa"/>
            </w:tcMar>
            <w:vAlign w:val="center"/>
          </w:tcPr>
          <w:p w14:paraId="0D32E819">
            <w:pPr>
              <w:jc w:val="center"/>
              <w:rPr>
                <w:rFonts w:eastAsia="仿宋"/>
                <w:sz w:val="24"/>
                <w:szCs w:val="24"/>
              </w:rPr>
            </w:pPr>
            <w:r>
              <w:rPr>
                <w:rFonts w:eastAsia="仿宋"/>
                <w:sz w:val="24"/>
                <w:szCs w:val="24"/>
              </w:rPr>
              <w:t>1</w:t>
            </w:r>
          </w:p>
        </w:tc>
        <w:tc>
          <w:tcPr>
            <w:tcW w:w="2972" w:type="dxa"/>
            <w:shd w:val="clear" w:color="auto" w:fill="auto"/>
            <w:tcMar>
              <w:top w:w="15" w:type="dxa"/>
              <w:left w:w="15" w:type="dxa"/>
              <w:bottom w:w="0" w:type="dxa"/>
              <w:right w:w="15" w:type="dxa"/>
            </w:tcMar>
            <w:vAlign w:val="center"/>
          </w:tcPr>
          <w:p w14:paraId="74FECB44">
            <w:pPr>
              <w:jc w:val="center"/>
              <w:rPr>
                <w:rFonts w:eastAsia="仿宋"/>
                <w:sz w:val="24"/>
                <w:szCs w:val="24"/>
              </w:rPr>
            </w:pPr>
            <w:r>
              <w:rPr>
                <w:rFonts w:eastAsia="仿宋"/>
                <w:sz w:val="24"/>
                <w:szCs w:val="24"/>
              </w:rPr>
              <w:t>汉丹江流域环境风险评估与防控区划定技术方法研究报告</w:t>
            </w:r>
          </w:p>
        </w:tc>
        <w:tc>
          <w:tcPr>
            <w:tcW w:w="1706" w:type="dxa"/>
            <w:shd w:val="clear" w:color="auto" w:fill="auto"/>
            <w:tcMar>
              <w:top w:w="15" w:type="dxa"/>
              <w:left w:w="15" w:type="dxa"/>
              <w:bottom w:w="0" w:type="dxa"/>
              <w:right w:w="15" w:type="dxa"/>
            </w:tcMar>
            <w:vAlign w:val="center"/>
          </w:tcPr>
          <w:p w14:paraId="6DC8D4C7">
            <w:pPr>
              <w:jc w:val="center"/>
              <w:rPr>
                <w:rFonts w:eastAsia="仿宋"/>
                <w:sz w:val="24"/>
                <w:szCs w:val="24"/>
              </w:rPr>
            </w:pPr>
            <w:r>
              <w:rPr>
                <w:rFonts w:eastAsia="仿宋"/>
                <w:sz w:val="24"/>
                <w:szCs w:val="24"/>
              </w:rPr>
              <w:t>生态环境部环境规划院</w:t>
            </w:r>
          </w:p>
        </w:tc>
        <w:tc>
          <w:tcPr>
            <w:tcW w:w="1134" w:type="dxa"/>
            <w:shd w:val="clear" w:color="auto" w:fill="auto"/>
            <w:tcMar>
              <w:top w:w="15" w:type="dxa"/>
              <w:left w:w="15" w:type="dxa"/>
              <w:bottom w:w="0" w:type="dxa"/>
              <w:right w:w="15" w:type="dxa"/>
            </w:tcMar>
            <w:vAlign w:val="center"/>
          </w:tcPr>
          <w:p w14:paraId="4C97D7D8">
            <w:pPr>
              <w:jc w:val="center"/>
              <w:rPr>
                <w:rFonts w:eastAsia="仿宋"/>
                <w:sz w:val="24"/>
                <w:szCs w:val="24"/>
              </w:rPr>
            </w:pPr>
            <w:r>
              <w:rPr>
                <w:rFonts w:eastAsia="仿宋"/>
                <w:sz w:val="24"/>
                <w:szCs w:val="24"/>
              </w:rPr>
              <w:t>风险防控区、废渣</w:t>
            </w:r>
          </w:p>
        </w:tc>
        <w:tc>
          <w:tcPr>
            <w:tcW w:w="7421" w:type="dxa"/>
            <w:shd w:val="clear" w:color="auto" w:fill="auto"/>
            <w:tcMar>
              <w:top w:w="15" w:type="dxa"/>
              <w:left w:w="15" w:type="dxa"/>
              <w:bottom w:w="0" w:type="dxa"/>
              <w:right w:w="15" w:type="dxa"/>
            </w:tcMar>
            <w:vAlign w:val="center"/>
          </w:tcPr>
          <w:p w14:paraId="5D08B19F">
            <w:pPr>
              <w:rPr>
                <w:rFonts w:eastAsia="仿宋"/>
                <w:sz w:val="24"/>
                <w:szCs w:val="24"/>
              </w:rPr>
            </w:pPr>
            <w:r>
              <w:rPr>
                <w:rFonts w:eastAsia="仿宋"/>
                <w:sz w:val="24"/>
                <w:szCs w:val="24"/>
              </w:rPr>
              <w:t>基于《行政区域突发环境事件风险评估推荐方法》的网格化环境风险评估思路，制定评估体系。从区域环境风险水平（R）、风险受体脆弱性（V）、风险防控与应急能力（M）方面构建环境风险防控区治理优先序评估指标体系;从废矿渣风险场强（S）、水环境风险受体易损性指数（V）方面构建废渣风险评估指标体系</w:t>
            </w:r>
            <w:r>
              <w:rPr>
                <w:rFonts w:hint="eastAsia" w:eastAsia="仿宋"/>
                <w:sz w:val="24"/>
                <w:szCs w:val="24"/>
              </w:rPr>
              <w:t>。</w:t>
            </w:r>
          </w:p>
        </w:tc>
      </w:tr>
      <w:tr w14:paraId="706B4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567" w:type="dxa"/>
            <w:shd w:val="clear" w:color="auto" w:fill="auto"/>
            <w:tcMar>
              <w:top w:w="15" w:type="dxa"/>
              <w:left w:w="15" w:type="dxa"/>
              <w:bottom w:w="0" w:type="dxa"/>
              <w:right w:w="15" w:type="dxa"/>
            </w:tcMar>
            <w:vAlign w:val="center"/>
          </w:tcPr>
          <w:p w14:paraId="350DD105">
            <w:pPr>
              <w:jc w:val="center"/>
              <w:rPr>
                <w:rFonts w:eastAsia="仿宋"/>
                <w:sz w:val="24"/>
                <w:szCs w:val="24"/>
              </w:rPr>
            </w:pPr>
            <w:r>
              <w:rPr>
                <w:rFonts w:hint="eastAsia" w:eastAsia="仿宋"/>
                <w:sz w:val="24"/>
                <w:szCs w:val="24"/>
              </w:rPr>
              <w:t>2</w:t>
            </w:r>
          </w:p>
        </w:tc>
        <w:tc>
          <w:tcPr>
            <w:tcW w:w="2972" w:type="dxa"/>
            <w:shd w:val="clear" w:color="auto" w:fill="auto"/>
            <w:tcMar>
              <w:top w:w="15" w:type="dxa"/>
              <w:left w:w="15" w:type="dxa"/>
              <w:bottom w:w="0" w:type="dxa"/>
              <w:right w:w="15" w:type="dxa"/>
            </w:tcMar>
            <w:vAlign w:val="center"/>
          </w:tcPr>
          <w:p w14:paraId="6E187E69">
            <w:pPr>
              <w:jc w:val="center"/>
              <w:rPr>
                <w:rFonts w:eastAsia="仿宋"/>
                <w:sz w:val="24"/>
                <w:szCs w:val="24"/>
              </w:rPr>
            </w:pPr>
            <w:r>
              <w:rPr>
                <w:rFonts w:eastAsia="仿宋"/>
                <w:sz w:val="24"/>
                <w:szCs w:val="24"/>
              </w:rPr>
              <w:t>白河县硫铁矿区环境风险评估</w:t>
            </w:r>
          </w:p>
        </w:tc>
        <w:tc>
          <w:tcPr>
            <w:tcW w:w="1706" w:type="dxa"/>
            <w:shd w:val="clear" w:color="auto" w:fill="auto"/>
            <w:tcMar>
              <w:top w:w="15" w:type="dxa"/>
              <w:left w:w="15" w:type="dxa"/>
              <w:bottom w:w="0" w:type="dxa"/>
              <w:right w:w="15" w:type="dxa"/>
            </w:tcMar>
            <w:vAlign w:val="center"/>
          </w:tcPr>
          <w:p w14:paraId="3CB67AEE">
            <w:pPr>
              <w:jc w:val="center"/>
              <w:rPr>
                <w:rFonts w:eastAsia="仿宋"/>
                <w:sz w:val="24"/>
                <w:szCs w:val="24"/>
              </w:rPr>
            </w:pPr>
            <w:r>
              <w:rPr>
                <w:rFonts w:eastAsia="仿宋"/>
                <w:sz w:val="24"/>
                <w:szCs w:val="24"/>
              </w:rPr>
              <w:t>生态环境部华南环境科学研究所</w:t>
            </w:r>
          </w:p>
        </w:tc>
        <w:tc>
          <w:tcPr>
            <w:tcW w:w="1134" w:type="dxa"/>
            <w:shd w:val="clear" w:color="auto" w:fill="auto"/>
            <w:tcMar>
              <w:top w:w="15" w:type="dxa"/>
              <w:left w:w="15" w:type="dxa"/>
              <w:bottom w:w="0" w:type="dxa"/>
              <w:right w:w="15" w:type="dxa"/>
            </w:tcMar>
            <w:vAlign w:val="center"/>
          </w:tcPr>
          <w:p w14:paraId="3F96CECF">
            <w:pPr>
              <w:jc w:val="center"/>
              <w:rPr>
                <w:rFonts w:eastAsia="仿宋"/>
                <w:sz w:val="24"/>
                <w:szCs w:val="24"/>
              </w:rPr>
            </w:pPr>
            <w:r>
              <w:rPr>
                <w:rFonts w:eastAsia="仿宋"/>
                <w:sz w:val="24"/>
                <w:szCs w:val="24"/>
              </w:rPr>
              <w:t>矿区、废渣、矿硐</w:t>
            </w:r>
          </w:p>
        </w:tc>
        <w:tc>
          <w:tcPr>
            <w:tcW w:w="7421" w:type="dxa"/>
            <w:shd w:val="clear" w:color="auto" w:fill="auto"/>
            <w:tcMar>
              <w:top w:w="15" w:type="dxa"/>
              <w:left w:w="15" w:type="dxa"/>
              <w:bottom w:w="0" w:type="dxa"/>
              <w:right w:w="15" w:type="dxa"/>
            </w:tcMar>
            <w:vAlign w:val="center"/>
          </w:tcPr>
          <w:p w14:paraId="1788A694">
            <w:pPr>
              <w:rPr>
                <w:rFonts w:eastAsia="仿宋"/>
                <w:sz w:val="24"/>
                <w:szCs w:val="24"/>
              </w:rPr>
            </w:pPr>
            <w:r>
              <w:rPr>
                <w:rFonts w:hint="eastAsia" w:eastAsia="仿宋"/>
                <w:sz w:val="24"/>
                <w:szCs w:val="24"/>
              </w:rPr>
              <w:t>先</w:t>
            </w:r>
            <w:r>
              <w:rPr>
                <w:rFonts w:eastAsia="仿宋"/>
                <w:sz w:val="24"/>
                <w:szCs w:val="24"/>
              </w:rPr>
              <w:t>从污染源（A）、敏感敏感度（B）</w:t>
            </w:r>
            <w:r>
              <w:rPr>
                <w:rFonts w:hint="eastAsia" w:eastAsia="仿宋"/>
                <w:sz w:val="24"/>
                <w:szCs w:val="24"/>
              </w:rPr>
              <w:t>两个</w:t>
            </w:r>
            <w:r>
              <w:rPr>
                <w:rFonts w:eastAsia="仿宋"/>
                <w:sz w:val="24"/>
                <w:szCs w:val="24"/>
              </w:rPr>
              <w:t>层面，构建硫铁矿区</w:t>
            </w:r>
            <w:r>
              <w:rPr>
                <w:rFonts w:hint="eastAsia" w:eastAsia="仿宋"/>
                <w:sz w:val="24"/>
                <w:szCs w:val="24"/>
              </w:rPr>
              <w:t>内</w:t>
            </w:r>
            <w:r>
              <w:rPr>
                <w:rFonts w:eastAsia="仿宋"/>
                <w:sz w:val="24"/>
                <w:szCs w:val="24"/>
              </w:rPr>
              <w:t>废弃矿硐、废石堆</w:t>
            </w:r>
            <w:r>
              <w:rPr>
                <w:rFonts w:hint="eastAsia" w:eastAsia="仿宋"/>
                <w:sz w:val="24"/>
                <w:szCs w:val="24"/>
              </w:rPr>
              <w:t>等污染源风险评估指标体系，在此基础上进一步构建</w:t>
            </w:r>
            <w:r>
              <w:rPr>
                <w:rFonts w:eastAsia="仿宋"/>
                <w:sz w:val="24"/>
                <w:szCs w:val="24"/>
              </w:rPr>
              <w:t>废弃矿区环境风险评价指标体系</w:t>
            </w:r>
          </w:p>
        </w:tc>
      </w:tr>
      <w:tr w14:paraId="57683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567" w:type="dxa"/>
            <w:shd w:val="clear" w:color="auto" w:fill="auto"/>
            <w:tcMar>
              <w:top w:w="15" w:type="dxa"/>
              <w:left w:w="15" w:type="dxa"/>
              <w:bottom w:w="0" w:type="dxa"/>
              <w:right w:w="15" w:type="dxa"/>
            </w:tcMar>
            <w:vAlign w:val="center"/>
          </w:tcPr>
          <w:p w14:paraId="0BFECC26">
            <w:pPr>
              <w:jc w:val="center"/>
              <w:rPr>
                <w:rFonts w:eastAsia="仿宋"/>
                <w:sz w:val="24"/>
                <w:szCs w:val="24"/>
              </w:rPr>
            </w:pPr>
            <w:r>
              <w:rPr>
                <w:rFonts w:hint="eastAsia" w:eastAsia="仿宋"/>
                <w:sz w:val="24"/>
                <w:szCs w:val="24"/>
              </w:rPr>
              <w:t>3</w:t>
            </w:r>
          </w:p>
        </w:tc>
        <w:tc>
          <w:tcPr>
            <w:tcW w:w="2972" w:type="dxa"/>
            <w:shd w:val="clear" w:color="auto" w:fill="auto"/>
            <w:tcMar>
              <w:top w:w="15" w:type="dxa"/>
              <w:left w:w="15" w:type="dxa"/>
              <w:bottom w:w="0" w:type="dxa"/>
              <w:right w:w="15" w:type="dxa"/>
            </w:tcMar>
            <w:vAlign w:val="center"/>
          </w:tcPr>
          <w:p w14:paraId="48EA94E9">
            <w:pPr>
              <w:jc w:val="center"/>
              <w:rPr>
                <w:rFonts w:eastAsia="仿宋"/>
                <w:sz w:val="24"/>
                <w:szCs w:val="24"/>
              </w:rPr>
            </w:pPr>
            <w:r>
              <w:rPr>
                <w:rFonts w:eastAsia="仿宋"/>
                <w:sz w:val="24"/>
                <w:szCs w:val="24"/>
              </w:rPr>
              <w:t>蒿坪河流域水污染综合整治实施方案</w:t>
            </w:r>
          </w:p>
        </w:tc>
        <w:tc>
          <w:tcPr>
            <w:tcW w:w="1706" w:type="dxa"/>
            <w:shd w:val="clear" w:color="auto" w:fill="auto"/>
            <w:tcMar>
              <w:top w:w="15" w:type="dxa"/>
              <w:left w:w="15" w:type="dxa"/>
              <w:bottom w:w="0" w:type="dxa"/>
              <w:right w:w="15" w:type="dxa"/>
            </w:tcMar>
            <w:vAlign w:val="center"/>
          </w:tcPr>
          <w:p w14:paraId="6A5F96F1">
            <w:pPr>
              <w:jc w:val="center"/>
              <w:rPr>
                <w:rFonts w:eastAsia="仿宋"/>
                <w:sz w:val="24"/>
                <w:szCs w:val="24"/>
              </w:rPr>
            </w:pPr>
            <w:r>
              <w:rPr>
                <w:rFonts w:eastAsia="仿宋"/>
                <w:sz w:val="24"/>
                <w:szCs w:val="24"/>
              </w:rPr>
              <w:t>西安中地环境科技有限公司</w:t>
            </w:r>
          </w:p>
        </w:tc>
        <w:tc>
          <w:tcPr>
            <w:tcW w:w="1134" w:type="dxa"/>
            <w:shd w:val="clear" w:color="auto" w:fill="auto"/>
            <w:tcMar>
              <w:top w:w="15" w:type="dxa"/>
              <w:left w:w="15" w:type="dxa"/>
              <w:bottom w:w="0" w:type="dxa"/>
              <w:right w:w="15" w:type="dxa"/>
            </w:tcMar>
            <w:vAlign w:val="center"/>
          </w:tcPr>
          <w:p w14:paraId="702E95C2">
            <w:pPr>
              <w:jc w:val="center"/>
              <w:rPr>
                <w:rFonts w:eastAsia="仿宋"/>
                <w:sz w:val="24"/>
                <w:szCs w:val="24"/>
              </w:rPr>
            </w:pPr>
            <w:r>
              <w:rPr>
                <w:rFonts w:eastAsia="仿宋"/>
                <w:sz w:val="24"/>
                <w:szCs w:val="24"/>
              </w:rPr>
              <w:t>风险防控区、废渣、矿硐</w:t>
            </w:r>
          </w:p>
        </w:tc>
        <w:tc>
          <w:tcPr>
            <w:tcW w:w="7421" w:type="dxa"/>
            <w:shd w:val="clear" w:color="auto" w:fill="auto"/>
            <w:tcMar>
              <w:top w:w="15" w:type="dxa"/>
              <w:left w:w="15" w:type="dxa"/>
              <w:bottom w:w="0" w:type="dxa"/>
              <w:right w:w="15" w:type="dxa"/>
            </w:tcMar>
            <w:vAlign w:val="center"/>
          </w:tcPr>
          <w:p w14:paraId="46341722">
            <w:pPr>
              <w:jc w:val="left"/>
              <w:rPr>
                <w:rFonts w:eastAsia="仿宋"/>
                <w:sz w:val="24"/>
                <w:szCs w:val="24"/>
              </w:rPr>
            </w:pPr>
            <w:r>
              <w:rPr>
                <w:rFonts w:eastAsia="仿宋"/>
                <w:sz w:val="24"/>
                <w:szCs w:val="24"/>
              </w:rPr>
              <w:t>根据水土环境质量将防控区分级为优先防控区、一般防控区和管控区； 根据废渣堆渗流水的酸碱度、重金属浓度情况、污染对象以及存废渣堆的地质稳定性等因素评估废渣危害性； 根据矿硐涌水的pH值、重金属超标情况及硐口稳定性等因素评估矿硐风险。</w:t>
            </w:r>
          </w:p>
        </w:tc>
      </w:tr>
      <w:tr w14:paraId="7164E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567" w:type="dxa"/>
            <w:shd w:val="clear" w:color="auto" w:fill="auto"/>
            <w:tcMar>
              <w:top w:w="15" w:type="dxa"/>
              <w:left w:w="15" w:type="dxa"/>
              <w:bottom w:w="0" w:type="dxa"/>
              <w:right w:w="15" w:type="dxa"/>
            </w:tcMar>
            <w:vAlign w:val="center"/>
          </w:tcPr>
          <w:p w14:paraId="6E965843">
            <w:pPr>
              <w:jc w:val="center"/>
              <w:rPr>
                <w:rFonts w:eastAsia="仿宋"/>
                <w:sz w:val="24"/>
                <w:szCs w:val="24"/>
              </w:rPr>
            </w:pPr>
            <w:r>
              <w:rPr>
                <w:rFonts w:hint="eastAsia" w:eastAsia="仿宋"/>
                <w:sz w:val="24"/>
                <w:szCs w:val="24"/>
              </w:rPr>
              <w:t>4</w:t>
            </w:r>
          </w:p>
        </w:tc>
        <w:tc>
          <w:tcPr>
            <w:tcW w:w="2972" w:type="dxa"/>
            <w:shd w:val="clear" w:color="auto" w:fill="auto"/>
            <w:tcMar>
              <w:top w:w="15" w:type="dxa"/>
              <w:left w:w="15" w:type="dxa"/>
              <w:bottom w:w="0" w:type="dxa"/>
              <w:right w:w="15" w:type="dxa"/>
            </w:tcMar>
            <w:vAlign w:val="center"/>
          </w:tcPr>
          <w:p w14:paraId="18C4F056">
            <w:pPr>
              <w:jc w:val="center"/>
              <w:rPr>
                <w:rFonts w:eastAsia="仿宋"/>
                <w:sz w:val="24"/>
                <w:szCs w:val="24"/>
              </w:rPr>
            </w:pPr>
            <w:r>
              <w:rPr>
                <w:rFonts w:eastAsia="仿宋"/>
                <w:sz w:val="24"/>
                <w:szCs w:val="24"/>
              </w:rPr>
              <w:t>长江经济带（江西段）废弃矿山地下水环境状况调查及风险评估项目</w:t>
            </w:r>
          </w:p>
        </w:tc>
        <w:tc>
          <w:tcPr>
            <w:tcW w:w="1706" w:type="dxa"/>
            <w:shd w:val="clear" w:color="auto" w:fill="auto"/>
            <w:tcMar>
              <w:top w:w="15" w:type="dxa"/>
              <w:left w:w="15" w:type="dxa"/>
              <w:bottom w:w="0" w:type="dxa"/>
              <w:right w:w="15" w:type="dxa"/>
            </w:tcMar>
            <w:vAlign w:val="center"/>
          </w:tcPr>
          <w:p w14:paraId="5644DF98">
            <w:pPr>
              <w:jc w:val="center"/>
              <w:rPr>
                <w:rFonts w:eastAsia="仿宋"/>
                <w:sz w:val="24"/>
                <w:szCs w:val="24"/>
              </w:rPr>
            </w:pPr>
            <w:r>
              <w:rPr>
                <w:rFonts w:eastAsia="仿宋"/>
                <w:sz w:val="24"/>
                <w:szCs w:val="24"/>
              </w:rPr>
              <w:t>生态环境部环境规划院</w:t>
            </w:r>
          </w:p>
        </w:tc>
        <w:tc>
          <w:tcPr>
            <w:tcW w:w="1134" w:type="dxa"/>
            <w:shd w:val="clear" w:color="auto" w:fill="auto"/>
            <w:tcMar>
              <w:top w:w="15" w:type="dxa"/>
              <w:left w:w="15" w:type="dxa"/>
              <w:bottom w:w="0" w:type="dxa"/>
              <w:right w:w="15" w:type="dxa"/>
            </w:tcMar>
            <w:vAlign w:val="center"/>
          </w:tcPr>
          <w:p w14:paraId="2B42A795">
            <w:pPr>
              <w:jc w:val="center"/>
              <w:rPr>
                <w:rFonts w:eastAsia="仿宋"/>
                <w:sz w:val="24"/>
                <w:szCs w:val="24"/>
              </w:rPr>
            </w:pPr>
            <w:r>
              <w:rPr>
                <w:rFonts w:eastAsia="仿宋"/>
                <w:sz w:val="24"/>
                <w:szCs w:val="24"/>
              </w:rPr>
              <w:t>废渣</w:t>
            </w:r>
          </w:p>
        </w:tc>
        <w:tc>
          <w:tcPr>
            <w:tcW w:w="7421" w:type="dxa"/>
            <w:shd w:val="clear" w:color="auto" w:fill="auto"/>
            <w:tcMar>
              <w:top w:w="15" w:type="dxa"/>
              <w:left w:w="15" w:type="dxa"/>
              <w:bottom w:w="0" w:type="dxa"/>
              <w:right w:w="15" w:type="dxa"/>
            </w:tcMar>
            <w:vAlign w:val="center"/>
          </w:tcPr>
          <w:p w14:paraId="3723BF0B">
            <w:pPr>
              <w:rPr>
                <w:rFonts w:eastAsia="仿宋"/>
                <w:sz w:val="24"/>
                <w:szCs w:val="24"/>
              </w:rPr>
            </w:pPr>
            <w:r>
              <w:rPr>
                <w:rFonts w:eastAsia="仿宋"/>
                <w:sz w:val="24"/>
                <w:szCs w:val="24"/>
              </w:rPr>
              <w:t>采用层次分析法，构建了包括污染源、污染途径、污染受体以及地下水污染现状在内的4个一级指标和25个评分指标；利用专家打分法构建权重矩阵，并确定了地下水污染风险评估模型和等级划分方法</w:t>
            </w:r>
          </w:p>
        </w:tc>
      </w:tr>
      <w:tr w14:paraId="37498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567" w:type="dxa"/>
            <w:shd w:val="clear" w:color="auto" w:fill="auto"/>
            <w:tcMar>
              <w:top w:w="15" w:type="dxa"/>
              <w:left w:w="15" w:type="dxa"/>
              <w:bottom w:w="0" w:type="dxa"/>
              <w:right w:w="15" w:type="dxa"/>
            </w:tcMar>
            <w:vAlign w:val="center"/>
          </w:tcPr>
          <w:p w14:paraId="4605E16C">
            <w:pPr>
              <w:jc w:val="center"/>
              <w:rPr>
                <w:rFonts w:eastAsia="仿宋"/>
                <w:sz w:val="24"/>
                <w:szCs w:val="24"/>
              </w:rPr>
            </w:pPr>
            <w:r>
              <w:rPr>
                <w:rFonts w:hint="eastAsia" w:eastAsia="仿宋"/>
                <w:sz w:val="24"/>
                <w:szCs w:val="24"/>
              </w:rPr>
              <w:t>5</w:t>
            </w:r>
          </w:p>
        </w:tc>
        <w:tc>
          <w:tcPr>
            <w:tcW w:w="2972" w:type="dxa"/>
            <w:shd w:val="clear" w:color="auto" w:fill="auto"/>
            <w:tcMar>
              <w:top w:w="15" w:type="dxa"/>
              <w:left w:w="15" w:type="dxa"/>
              <w:bottom w:w="0" w:type="dxa"/>
              <w:right w:w="15" w:type="dxa"/>
            </w:tcMar>
            <w:vAlign w:val="center"/>
          </w:tcPr>
          <w:p w14:paraId="6AA5D25C">
            <w:pPr>
              <w:jc w:val="center"/>
              <w:rPr>
                <w:rFonts w:eastAsia="仿宋"/>
                <w:sz w:val="24"/>
                <w:szCs w:val="24"/>
              </w:rPr>
            </w:pPr>
            <w:r>
              <w:rPr>
                <w:rFonts w:eastAsia="仿宋"/>
                <w:sz w:val="24"/>
                <w:szCs w:val="24"/>
              </w:rPr>
              <w:t>赤水河永宁河流域（泸州）历史遗留煤硫矿山、渣堆环境风险评估</w:t>
            </w:r>
          </w:p>
        </w:tc>
        <w:tc>
          <w:tcPr>
            <w:tcW w:w="1706" w:type="dxa"/>
            <w:shd w:val="clear" w:color="auto" w:fill="auto"/>
            <w:tcMar>
              <w:top w:w="15" w:type="dxa"/>
              <w:left w:w="15" w:type="dxa"/>
              <w:bottom w:w="0" w:type="dxa"/>
              <w:right w:w="15" w:type="dxa"/>
            </w:tcMar>
            <w:vAlign w:val="center"/>
          </w:tcPr>
          <w:p w14:paraId="7684035D">
            <w:pPr>
              <w:jc w:val="center"/>
              <w:rPr>
                <w:rFonts w:eastAsia="仿宋"/>
                <w:sz w:val="24"/>
                <w:szCs w:val="24"/>
              </w:rPr>
            </w:pPr>
            <w:r>
              <w:rPr>
                <w:rFonts w:eastAsia="仿宋"/>
                <w:sz w:val="24"/>
                <w:szCs w:val="24"/>
              </w:rPr>
              <w:t>生态环境部环境规划院</w:t>
            </w:r>
          </w:p>
        </w:tc>
        <w:tc>
          <w:tcPr>
            <w:tcW w:w="1134" w:type="dxa"/>
            <w:shd w:val="clear" w:color="auto" w:fill="auto"/>
            <w:tcMar>
              <w:top w:w="15" w:type="dxa"/>
              <w:left w:w="15" w:type="dxa"/>
              <w:bottom w:w="0" w:type="dxa"/>
              <w:right w:w="15" w:type="dxa"/>
            </w:tcMar>
            <w:vAlign w:val="center"/>
          </w:tcPr>
          <w:p w14:paraId="4181EEDC">
            <w:pPr>
              <w:jc w:val="center"/>
              <w:rPr>
                <w:rFonts w:eastAsia="仿宋"/>
                <w:sz w:val="24"/>
                <w:szCs w:val="24"/>
              </w:rPr>
            </w:pPr>
            <w:r>
              <w:rPr>
                <w:rFonts w:eastAsia="仿宋"/>
                <w:sz w:val="24"/>
                <w:szCs w:val="24"/>
              </w:rPr>
              <w:t>废渣</w:t>
            </w:r>
          </w:p>
        </w:tc>
        <w:tc>
          <w:tcPr>
            <w:tcW w:w="7421" w:type="dxa"/>
            <w:shd w:val="clear" w:color="auto" w:fill="auto"/>
            <w:tcMar>
              <w:top w:w="15" w:type="dxa"/>
              <w:left w:w="15" w:type="dxa"/>
              <w:bottom w:w="0" w:type="dxa"/>
              <w:right w:w="15" w:type="dxa"/>
            </w:tcMar>
            <w:vAlign w:val="center"/>
          </w:tcPr>
          <w:p w14:paraId="30B5534D">
            <w:pPr>
              <w:rPr>
                <w:rFonts w:eastAsia="仿宋"/>
                <w:sz w:val="24"/>
                <w:szCs w:val="24"/>
              </w:rPr>
            </w:pPr>
            <w:r>
              <w:rPr>
                <w:rFonts w:eastAsia="仿宋"/>
                <w:sz w:val="24"/>
                <w:szCs w:val="24"/>
              </w:rPr>
              <w:t>基于美国危害分级系统（ HRS）体系，从地下水迁移、地表水迁移、土壤暴露、空气迁移等4个方面，开展历史遗留废渣的危害分级</w:t>
            </w:r>
          </w:p>
        </w:tc>
      </w:tr>
      <w:tr w14:paraId="7AA56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567" w:type="dxa"/>
            <w:shd w:val="clear" w:color="auto" w:fill="auto"/>
            <w:tcMar>
              <w:top w:w="15" w:type="dxa"/>
              <w:left w:w="15" w:type="dxa"/>
              <w:bottom w:w="0" w:type="dxa"/>
              <w:right w:w="15" w:type="dxa"/>
            </w:tcMar>
            <w:vAlign w:val="center"/>
          </w:tcPr>
          <w:p w14:paraId="01876A2B">
            <w:pPr>
              <w:jc w:val="center"/>
              <w:rPr>
                <w:rFonts w:eastAsia="仿宋"/>
                <w:sz w:val="24"/>
                <w:szCs w:val="24"/>
              </w:rPr>
            </w:pPr>
            <w:r>
              <w:rPr>
                <w:rFonts w:eastAsia="仿宋"/>
                <w:sz w:val="24"/>
                <w:szCs w:val="24"/>
              </w:rPr>
              <w:t>6</w:t>
            </w:r>
          </w:p>
        </w:tc>
        <w:tc>
          <w:tcPr>
            <w:tcW w:w="2972" w:type="dxa"/>
            <w:shd w:val="clear" w:color="auto" w:fill="auto"/>
            <w:tcMar>
              <w:top w:w="15" w:type="dxa"/>
              <w:left w:w="15" w:type="dxa"/>
              <w:bottom w:w="0" w:type="dxa"/>
              <w:right w:w="15" w:type="dxa"/>
            </w:tcMar>
            <w:vAlign w:val="center"/>
          </w:tcPr>
          <w:p w14:paraId="4300B1D0">
            <w:pPr>
              <w:jc w:val="center"/>
              <w:rPr>
                <w:rFonts w:eastAsia="仿宋"/>
                <w:sz w:val="24"/>
                <w:szCs w:val="24"/>
              </w:rPr>
            </w:pPr>
            <w:r>
              <w:rPr>
                <w:rFonts w:eastAsia="仿宋"/>
                <w:sz w:val="24"/>
                <w:szCs w:val="24"/>
              </w:rPr>
              <w:t>陕西省旬阳县汞铅等重金属矿区环境污染状况调查及风险评估报告</w:t>
            </w:r>
          </w:p>
        </w:tc>
        <w:tc>
          <w:tcPr>
            <w:tcW w:w="1706" w:type="dxa"/>
            <w:shd w:val="clear" w:color="auto" w:fill="auto"/>
            <w:tcMar>
              <w:top w:w="15" w:type="dxa"/>
              <w:left w:w="15" w:type="dxa"/>
              <w:bottom w:w="0" w:type="dxa"/>
              <w:right w:w="15" w:type="dxa"/>
            </w:tcMar>
            <w:vAlign w:val="center"/>
          </w:tcPr>
          <w:p w14:paraId="0CB24944">
            <w:pPr>
              <w:jc w:val="center"/>
              <w:rPr>
                <w:rFonts w:eastAsia="仿宋"/>
                <w:sz w:val="24"/>
                <w:szCs w:val="24"/>
              </w:rPr>
            </w:pPr>
            <w:r>
              <w:rPr>
                <w:rFonts w:eastAsia="仿宋"/>
                <w:sz w:val="24"/>
                <w:szCs w:val="24"/>
              </w:rPr>
              <w:t>陕西省水工环地质调查中心</w:t>
            </w:r>
          </w:p>
        </w:tc>
        <w:tc>
          <w:tcPr>
            <w:tcW w:w="1134" w:type="dxa"/>
            <w:shd w:val="clear" w:color="auto" w:fill="auto"/>
            <w:tcMar>
              <w:top w:w="15" w:type="dxa"/>
              <w:left w:w="15" w:type="dxa"/>
              <w:bottom w:w="0" w:type="dxa"/>
              <w:right w:w="15" w:type="dxa"/>
            </w:tcMar>
            <w:vAlign w:val="center"/>
          </w:tcPr>
          <w:p w14:paraId="2EB16655">
            <w:pPr>
              <w:jc w:val="center"/>
              <w:rPr>
                <w:rFonts w:eastAsia="仿宋"/>
                <w:sz w:val="24"/>
                <w:szCs w:val="24"/>
              </w:rPr>
            </w:pPr>
            <w:r>
              <w:rPr>
                <w:rFonts w:eastAsia="仿宋"/>
                <w:sz w:val="24"/>
                <w:szCs w:val="24"/>
              </w:rPr>
              <w:t>废渣、矿硐</w:t>
            </w:r>
          </w:p>
        </w:tc>
        <w:tc>
          <w:tcPr>
            <w:tcW w:w="7421" w:type="dxa"/>
            <w:shd w:val="clear" w:color="auto" w:fill="auto"/>
            <w:tcMar>
              <w:top w:w="15" w:type="dxa"/>
              <w:left w:w="15" w:type="dxa"/>
              <w:bottom w:w="0" w:type="dxa"/>
              <w:right w:w="15" w:type="dxa"/>
            </w:tcMar>
            <w:vAlign w:val="center"/>
          </w:tcPr>
          <w:p w14:paraId="66AFA04C">
            <w:pPr>
              <w:jc w:val="center"/>
              <w:rPr>
                <w:rFonts w:eastAsia="仿宋"/>
                <w:sz w:val="24"/>
                <w:szCs w:val="24"/>
              </w:rPr>
            </w:pPr>
            <w:r>
              <w:rPr>
                <w:rFonts w:eastAsia="仿宋"/>
                <w:sz w:val="24"/>
                <w:szCs w:val="24"/>
              </w:rPr>
              <w:t>以污染源、环境敏感度</w:t>
            </w:r>
            <w:r>
              <w:rPr>
                <w:rFonts w:hint="eastAsia" w:eastAsia="仿宋"/>
                <w:sz w:val="24"/>
                <w:szCs w:val="24"/>
              </w:rPr>
              <w:t>两个维度</w:t>
            </w:r>
            <w:r>
              <w:rPr>
                <w:rFonts w:eastAsia="仿宋"/>
                <w:sz w:val="24"/>
                <w:szCs w:val="24"/>
              </w:rPr>
              <w:t>为准则层，建立矿硐、废渣评估指标体系</w:t>
            </w:r>
          </w:p>
        </w:tc>
      </w:tr>
      <w:tr w14:paraId="0ED24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567" w:type="dxa"/>
            <w:shd w:val="clear" w:color="auto" w:fill="auto"/>
            <w:tcMar>
              <w:top w:w="15" w:type="dxa"/>
              <w:left w:w="15" w:type="dxa"/>
              <w:bottom w:w="0" w:type="dxa"/>
              <w:right w:w="15" w:type="dxa"/>
            </w:tcMar>
            <w:vAlign w:val="center"/>
          </w:tcPr>
          <w:p w14:paraId="356651CB">
            <w:pPr>
              <w:jc w:val="center"/>
              <w:rPr>
                <w:rFonts w:eastAsia="仿宋"/>
                <w:sz w:val="24"/>
                <w:szCs w:val="24"/>
              </w:rPr>
            </w:pPr>
            <w:r>
              <w:rPr>
                <w:rFonts w:eastAsia="仿宋"/>
                <w:sz w:val="24"/>
                <w:szCs w:val="24"/>
              </w:rPr>
              <w:t>7</w:t>
            </w:r>
          </w:p>
        </w:tc>
        <w:tc>
          <w:tcPr>
            <w:tcW w:w="2972" w:type="dxa"/>
            <w:shd w:val="clear" w:color="auto" w:fill="auto"/>
            <w:tcMar>
              <w:top w:w="15" w:type="dxa"/>
              <w:left w:w="15" w:type="dxa"/>
              <w:bottom w:w="0" w:type="dxa"/>
              <w:right w:w="15" w:type="dxa"/>
            </w:tcMar>
            <w:vAlign w:val="center"/>
          </w:tcPr>
          <w:p w14:paraId="315CB762">
            <w:pPr>
              <w:jc w:val="center"/>
              <w:rPr>
                <w:rFonts w:eastAsia="仿宋"/>
                <w:sz w:val="24"/>
                <w:szCs w:val="24"/>
              </w:rPr>
            </w:pPr>
            <w:r>
              <w:rPr>
                <w:rFonts w:eastAsia="仿宋"/>
                <w:sz w:val="24"/>
                <w:szCs w:val="24"/>
              </w:rPr>
              <w:t>西乡县五里坝硫铁矿矿区酸性水综合治理</w:t>
            </w:r>
            <w:r>
              <w:rPr>
                <w:rFonts w:hint="eastAsia" w:eastAsia="仿宋"/>
                <w:sz w:val="24"/>
                <w:szCs w:val="24"/>
              </w:rPr>
              <w:t>项目</w:t>
            </w:r>
          </w:p>
        </w:tc>
        <w:tc>
          <w:tcPr>
            <w:tcW w:w="1706" w:type="dxa"/>
            <w:shd w:val="clear" w:color="auto" w:fill="auto"/>
            <w:tcMar>
              <w:top w:w="15" w:type="dxa"/>
              <w:left w:w="15" w:type="dxa"/>
              <w:bottom w:w="0" w:type="dxa"/>
              <w:right w:w="15" w:type="dxa"/>
            </w:tcMar>
            <w:vAlign w:val="center"/>
          </w:tcPr>
          <w:p w14:paraId="4CF3EDE3">
            <w:pPr>
              <w:jc w:val="center"/>
              <w:rPr>
                <w:rFonts w:eastAsia="仿宋"/>
                <w:sz w:val="24"/>
                <w:szCs w:val="24"/>
              </w:rPr>
            </w:pPr>
            <w:r>
              <w:rPr>
                <w:rFonts w:eastAsia="仿宋"/>
                <w:sz w:val="24"/>
                <w:szCs w:val="24"/>
              </w:rPr>
              <w:t>陕西省中勘环境地质研究中心有限公司</w:t>
            </w:r>
          </w:p>
        </w:tc>
        <w:tc>
          <w:tcPr>
            <w:tcW w:w="1134" w:type="dxa"/>
            <w:shd w:val="clear" w:color="auto" w:fill="auto"/>
            <w:tcMar>
              <w:top w:w="15" w:type="dxa"/>
              <w:left w:w="15" w:type="dxa"/>
              <w:bottom w:w="0" w:type="dxa"/>
              <w:right w:w="15" w:type="dxa"/>
            </w:tcMar>
            <w:vAlign w:val="center"/>
          </w:tcPr>
          <w:p w14:paraId="44F9FBA6">
            <w:pPr>
              <w:jc w:val="center"/>
              <w:rPr>
                <w:rFonts w:eastAsia="仿宋"/>
                <w:sz w:val="24"/>
                <w:szCs w:val="24"/>
              </w:rPr>
            </w:pPr>
            <w:r>
              <w:rPr>
                <w:rFonts w:eastAsia="仿宋"/>
                <w:sz w:val="24"/>
                <w:szCs w:val="24"/>
              </w:rPr>
              <w:t>废渣、矿硐</w:t>
            </w:r>
          </w:p>
        </w:tc>
        <w:tc>
          <w:tcPr>
            <w:tcW w:w="7421" w:type="dxa"/>
            <w:shd w:val="clear" w:color="auto" w:fill="auto"/>
            <w:tcMar>
              <w:top w:w="15" w:type="dxa"/>
              <w:left w:w="15" w:type="dxa"/>
              <w:bottom w:w="0" w:type="dxa"/>
              <w:right w:w="15" w:type="dxa"/>
            </w:tcMar>
            <w:vAlign w:val="center"/>
          </w:tcPr>
          <w:p w14:paraId="4537F582">
            <w:pPr>
              <w:jc w:val="center"/>
              <w:rPr>
                <w:rFonts w:eastAsia="仿宋"/>
                <w:sz w:val="24"/>
                <w:szCs w:val="24"/>
              </w:rPr>
            </w:pPr>
            <w:r>
              <w:rPr>
                <w:rFonts w:eastAsia="仿宋"/>
                <w:sz w:val="24"/>
                <w:szCs w:val="24"/>
              </w:rPr>
              <w:t>以污染源（Y）、途径（T）、敏感受体（S）为准则层，建立矿硐、废渣评估指标体系</w:t>
            </w:r>
          </w:p>
        </w:tc>
      </w:tr>
    </w:tbl>
    <w:p w14:paraId="76F101AC">
      <w:pPr>
        <w:rPr>
          <w:rFonts w:hint="eastAsia" w:ascii="仿宋" w:hAnsi="仿宋" w:eastAsia="仿宋" w:cs="黑体"/>
          <w:szCs w:val="21"/>
        </w:rPr>
        <w:sectPr>
          <w:pgSz w:w="16838" w:h="11906" w:orient="landscape"/>
          <w:pgMar w:top="1135" w:right="1800" w:bottom="1440" w:left="1800" w:header="851" w:footer="992" w:gutter="0"/>
          <w:cols w:space="720" w:num="1"/>
          <w:docGrid w:type="lines" w:linePitch="312" w:charSpace="0"/>
        </w:sectPr>
      </w:pPr>
      <w:r>
        <w:rPr>
          <w:rFonts w:hint="eastAsia" w:ascii="仿宋" w:hAnsi="仿宋" w:eastAsia="仿宋" w:cs="黑体"/>
          <w:szCs w:val="21"/>
        </w:rPr>
        <w:t>说明：方法1来自汉丹江规划风险评估专题研究报告；方法2来自生态环境部华南环境科学研究所完成科技文章《</w:t>
      </w:r>
      <w:r>
        <w:rPr>
          <w:rFonts w:ascii="仿宋" w:hAnsi="仿宋" w:eastAsia="仿宋" w:cs="黑体"/>
          <w:szCs w:val="21"/>
        </w:rPr>
        <w:t>典型废弃硫铁矿区环境风险分级研究及应用</w:t>
      </w:r>
      <w:r>
        <w:rPr>
          <w:rFonts w:hint="eastAsia" w:ascii="仿宋" w:hAnsi="仿宋" w:eastAsia="仿宋" w:cs="黑体"/>
          <w:szCs w:val="21"/>
        </w:rPr>
        <w:t>》，该文章也提出了基于废渣风险-矿硐风险为基础的分区划定和风险等级的划定。方法3-7均来自相应的工程可行性研究报告、项目技术报告等。</w:t>
      </w:r>
    </w:p>
    <w:p w14:paraId="4EAEB039">
      <w:pPr>
        <w:pStyle w:val="2"/>
      </w:pPr>
      <w:bookmarkStart w:id="27" w:name="_Toc194590188"/>
      <w:r>
        <w:rPr>
          <w:rFonts w:hint="eastAsia"/>
        </w:rPr>
        <w:t>四、编制原则和主要内容分析</w:t>
      </w:r>
      <w:bookmarkEnd w:id="27"/>
    </w:p>
    <w:p w14:paraId="36C2C8E1">
      <w:pPr>
        <w:pStyle w:val="3"/>
      </w:pPr>
      <w:bookmarkStart w:id="28" w:name="_Toc194590189"/>
      <w:r>
        <w:rPr>
          <w:rFonts w:hint="eastAsia"/>
        </w:rPr>
        <w:t>（一）评价原则</w:t>
      </w:r>
      <w:bookmarkEnd w:id="28"/>
    </w:p>
    <w:p w14:paraId="51EC78BD">
      <w:pPr>
        <w:spacing w:line="560" w:lineRule="exact"/>
        <w:ind w:firstLine="563"/>
        <w:rPr>
          <w:rFonts w:hint="eastAsia" w:ascii="仿宋" w:hAnsi="仿宋" w:eastAsia="仿宋"/>
          <w:bCs/>
          <w:sz w:val="28"/>
          <w:szCs w:val="28"/>
        </w:rPr>
      </w:pPr>
      <w:r>
        <w:rPr>
          <w:rFonts w:hint="eastAsia" w:ascii="仿宋" w:hAnsi="仿宋" w:eastAsia="仿宋"/>
          <w:bCs/>
          <w:sz w:val="28"/>
          <w:szCs w:val="28"/>
        </w:rPr>
        <w:t>矿山环境风险评价总体遵循下述三个方面的主要原则：</w:t>
      </w:r>
    </w:p>
    <w:p w14:paraId="05EB329A">
      <w:pPr>
        <w:spacing w:line="560" w:lineRule="exact"/>
        <w:ind w:firstLine="562" w:firstLineChars="200"/>
        <w:rPr>
          <w:rFonts w:hint="eastAsia" w:ascii="仿宋" w:hAnsi="仿宋" w:eastAsia="仿宋"/>
          <w:bCs/>
          <w:sz w:val="28"/>
          <w:szCs w:val="28"/>
        </w:rPr>
      </w:pPr>
      <w:r>
        <w:rPr>
          <w:rFonts w:hint="eastAsia" w:ascii="仿宋" w:hAnsi="仿宋" w:eastAsia="仿宋"/>
          <w:b/>
          <w:sz w:val="28"/>
          <w:szCs w:val="28"/>
        </w:rPr>
        <w:t>充分衔接，提高适用性。</w:t>
      </w:r>
      <w:r>
        <w:rPr>
          <w:rFonts w:hint="eastAsia" w:ascii="仿宋" w:hAnsi="仿宋" w:eastAsia="仿宋"/>
          <w:bCs/>
          <w:sz w:val="28"/>
          <w:szCs w:val="28"/>
        </w:rPr>
        <w:t>充分结合陕西已经开展的相关矿山（区）环境风险评价已有工作基础和相关研究成果，提高指南的适用性。</w:t>
      </w:r>
    </w:p>
    <w:p w14:paraId="39D332E1">
      <w:pPr>
        <w:spacing w:line="560" w:lineRule="exact"/>
        <w:ind w:firstLine="562" w:firstLineChars="200"/>
        <w:rPr>
          <w:rFonts w:hint="eastAsia" w:ascii="仿宋" w:hAnsi="仿宋" w:eastAsia="仿宋"/>
          <w:bCs/>
          <w:sz w:val="28"/>
          <w:szCs w:val="28"/>
        </w:rPr>
      </w:pPr>
      <w:r>
        <w:rPr>
          <w:rFonts w:hint="eastAsia" w:ascii="仿宋" w:hAnsi="仿宋" w:eastAsia="仿宋"/>
          <w:b/>
          <w:sz w:val="28"/>
          <w:szCs w:val="28"/>
        </w:rPr>
        <w:t>因地制宜，提高针对性。</w:t>
      </w:r>
      <w:r>
        <w:rPr>
          <w:rFonts w:hint="eastAsia" w:ascii="仿宋" w:hAnsi="仿宋" w:eastAsia="仿宋"/>
          <w:bCs/>
          <w:sz w:val="28"/>
          <w:szCs w:val="28"/>
        </w:rPr>
        <w:t>充分结合陕西历史遗留矿山污染特点，从实际情况出发合理设置评价指标和评价方法，构建与陕西历史遗留涉金属矿山污染特点相适应的评价体系。</w:t>
      </w:r>
    </w:p>
    <w:p w14:paraId="53DEA9B3">
      <w:pPr>
        <w:spacing w:line="560" w:lineRule="exact"/>
        <w:ind w:firstLine="562" w:firstLineChars="200"/>
        <w:rPr>
          <w:rFonts w:hint="eastAsia" w:ascii="仿宋" w:hAnsi="仿宋" w:eastAsia="仿宋"/>
          <w:bCs/>
          <w:sz w:val="28"/>
          <w:szCs w:val="28"/>
        </w:rPr>
      </w:pPr>
      <w:r>
        <w:rPr>
          <w:rFonts w:hint="eastAsia" w:ascii="仿宋" w:hAnsi="仿宋" w:eastAsia="仿宋"/>
          <w:b/>
          <w:sz w:val="28"/>
          <w:szCs w:val="28"/>
        </w:rPr>
        <w:t>定量评价，提高操作性。</w:t>
      </w:r>
      <w:r>
        <w:rPr>
          <w:rFonts w:hint="eastAsia" w:ascii="仿宋" w:hAnsi="仿宋" w:eastAsia="仿宋"/>
          <w:bCs/>
          <w:sz w:val="28"/>
          <w:szCs w:val="28"/>
        </w:rPr>
        <w:t>总体采取定量评价方法，设置能获取到数据和信息的指标开展评价，同时需要说明的是，按照本文件计算得出的环境风险评价值是相对值的含义，即是在若干被评价对象范围内，风险的相对值和风险相对的高低，并非该评价对象环境风险的绝对数值。通过比较环境风险的相对高低并进行排序，得出在被评价范围内应优先整治的对象。</w:t>
      </w:r>
    </w:p>
    <w:p w14:paraId="18652D4D">
      <w:pPr>
        <w:pStyle w:val="3"/>
      </w:pPr>
      <w:bookmarkStart w:id="29" w:name="_Toc194590190"/>
      <w:r>
        <w:rPr>
          <w:rFonts w:hint="eastAsia"/>
        </w:rPr>
        <w:t>（二）标准结构</w:t>
      </w:r>
      <w:bookmarkEnd w:id="29"/>
    </w:p>
    <w:p w14:paraId="2CFABA9E">
      <w:pPr>
        <w:ind w:firstLine="560" w:firstLineChars="200"/>
        <w:rPr>
          <w:rFonts w:hint="eastAsia" w:ascii="仿宋" w:hAnsi="仿宋" w:eastAsia="仿宋"/>
          <w:bCs/>
          <w:sz w:val="28"/>
          <w:szCs w:val="28"/>
        </w:rPr>
      </w:pPr>
      <w:r>
        <w:rPr>
          <w:rFonts w:hint="eastAsia" w:ascii="仿宋" w:hAnsi="仿宋" w:eastAsia="仿宋"/>
          <w:bCs/>
          <w:sz w:val="28"/>
          <w:szCs w:val="28"/>
        </w:rPr>
        <w:t>本文件正文共计8个部分，包括：</w:t>
      </w:r>
    </w:p>
    <w:p w14:paraId="49385EBF">
      <w:pPr>
        <w:ind w:firstLine="562" w:firstLineChars="200"/>
        <w:rPr>
          <w:rFonts w:hint="eastAsia" w:ascii="仿宋" w:hAnsi="仿宋" w:eastAsia="仿宋"/>
          <w:b/>
          <w:sz w:val="28"/>
          <w:szCs w:val="28"/>
        </w:rPr>
      </w:pPr>
      <w:r>
        <w:rPr>
          <w:rFonts w:hint="eastAsia" w:ascii="仿宋" w:hAnsi="仿宋" w:eastAsia="仿宋"/>
          <w:b/>
          <w:sz w:val="28"/>
          <w:szCs w:val="28"/>
        </w:rPr>
        <w:t>1、适用范围</w:t>
      </w:r>
    </w:p>
    <w:p w14:paraId="24F0011F">
      <w:pPr>
        <w:ind w:firstLine="560" w:firstLineChars="200"/>
        <w:rPr>
          <w:rFonts w:hint="eastAsia" w:ascii="仿宋" w:hAnsi="仿宋" w:eastAsia="仿宋"/>
          <w:bCs/>
          <w:sz w:val="28"/>
          <w:szCs w:val="28"/>
        </w:rPr>
      </w:pPr>
      <w:r>
        <w:rPr>
          <w:rFonts w:hint="eastAsia" w:ascii="仿宋" w:hAnsi="仿宋" w:eastAsia="仿宋"/>
          <w:bCs/>
          <w:sz w:val="28"/>
          <w:szCs w:val="28"/>
        </w:rPr>
        <w:t>明确了本文件的适用范围，即适用于涉金属矿产开采活动结束后的分区风险评估及防控技术工作，开采过程中环境污染风险评估及防控工作可参照执行。</w:t>
      </w:r>
    </w:p>
    <w:p w14:paraId="7214A811">
      <w:pPr>
        <w:ind w:firstLine="562" w:firstLineChars="200"/>
        <w:rPr>
          <w:rFonts w:hint="eastAsia" w:ascii="仿宋" w:hAnsi="仿宋" w:eastAsia="仿宋"/>
          <w:b/>
          <w:sz w:val="28"/>
          <w:szCs w:val="28"/>
        </w:rPr>
      </w:pPr>
      <w:r>
        <w:rPr>
          <w:rFonts w:hint="eastAsia" w:ascii="仿宋" w:hAnsi="仿宋" w:eastAsia="仿宋"/>
          <w:b/>
          <w:sz w:val="28"/>
          <w:szCs w:val="28"/>
        </w:rPr>
        <w:t>2、规范性引用文件</w:t>
      </w:r>
    </w:p>
    <w:p w14:paraId="42E96D6C">
      <w:pPr>
        <w:ind w:firstLine="560" w:firstLineChars="200"/>
        <w:rPr>
          <w:rFonts w:hint="eastAsia" w:ascii="仿宋" w:hAnsi="仿宋" w:eastAsia="仿宋"/>
          <w:bCs/>
          <w:sz w:val="28"/>
          <w:szCs w:val="28"/>
        </w:rPr>
      </w:pPr>
      <w:r>
        <w:rPr>
          <w:rFonts w:hint="eastAsia" w:ascii="仿宋" w:hAnsi="仿宋" w:eastAsia="仿宋"/>
          <w:bCs/>
          <w:sz w:val="28"/>
          <w:szCs w:val="28"/>
        </w:rPr>
        <w:t>在指南引用了GB 3838、HJ 91.2、HJ 740、TD/T 1070.3等4个文件。</w:t>
      </w:r>
    </w:p>
    <w:p w14:paraId="784DD003">
      <w:pPr>
        <w:ind w:firstLine="562" w:firstLineChars="200"/>
        <w:rPr>
          <w:rFonts w:hint="eastAsia" w:ascii="仿宋" w:hAnsi="仿宋" w:eastAsia="仿宋"/>
          <w:b/>
          <w:sz w:val="28"/>
          <w:szCs w:val="28"/>
        </w:rPr>
      </w:pPr>
      <w:r>
        <w:rPr>
          <w:rFonts w:hint="eastAsia" w:ascii="仿宋" w:hAnsi="仿宋" w:eastAsia="仿宋"/>
          <w:b/>
          <w:sz w:val="28"/>
          <w:szCs w:val="28"/>
        </w:rPr>
        <w:t>3、术语和定义</w:t>
      </w:r>
    </w:p>
    <w:p w14:paraId="02230F1F">
      <w:pPr>
        <w:ind w:firstLine="560" w:firstLineChars="200"/>
        <w:rPr>
          <w:rFonts w:hint="eastAsia" w:ascii="仿宋" w:hAnsi="仿宋" w:eastAsia="仿宋"/>
          <w:bCs/>
          <w:sz w:val="28"/>
          <w:szCs w:val="28"/>
        </w:rPr>
      </w:pPr>
      <w:r>
        <w:rPr>
          <w:rFonts w:hint="eastAsia" w:ascii="仿宋" w:hAnsi="仿宋" w:eastAsia="仿宋"/>
          <w:bCs/>
          <w:sz w:val="28"/>
          <w:szCs w:val="28"/>
        </w:rPr>
        <w:t>提出了7个术语，分别是风险防控区、污染风险单元、风险控制断面、质量控制断面、风险源危害性、污染物迁移性、环境敏感性。</w:t>
      </w:r>
    </w:p>
    <w:p w14:paraId="151510FC">
      <w:pPr>
        <w:ind w:firstLine="562" w:firstLineChars="200"/>
        <w:rPr>
          <w:rFonts w:hint="eastAsia" w:ascii="仿宋" w:hAnsi="仿宋" w:eastAsia="仿宋"/>
          <w:b/>
          <w:sz w:val="28"/>
          <w:szCs w:val="28"/>
        </w:rPr>
      </w:pPr>
      <w:r>
        <w:rPr>
          <w:rFonts w:hint="eastAsia" w:ascii="仿宋" w:hAnsi="仿宋" w:eastAsia="仿宋"/>
          <w:b/>
          <w:sz w:val="28"/>
          <w:szCs w:val="28"/>
        </w:rPr>
        <w:t>4、工作程序</w:t>
      </w:r>
    </w:p>
    <w:p w14:paraId="63E2C722">
      <w:pPr>
        <w:ind w:firstLine="560" w:firstLineChars="200"/>
        <w:rPr>
          <w:rFonts w:hint="eastAsia" w:ascii="仿宋" w:hAnsi="仿宋" w:eastAsia="仿宋"/>
          <w:bCs/>
          <w:sz w:val="28"/>
          <w:szCs w:val="28"/>
        </w:rPr>
      </w:pPr>
      <w:r>
        <w:rPr>
          <w:rFonts w:hint="eastAsia" w:ascii="仿宋" w:hAnsi="仿宋" w:eastAsia="仿宋"/>
          <w:bCs/>
          <w:sz w:val="28"/>
          <w:szCs w:val="28"/>
        </w:rPr>
        <w:t>采用流程图方式，明确准备阶段、风险评估阶段、防控策略制定阶段、编制风险评估报告等4个阶段的主要内容和逻辑关系。</w:t>
      </w:r>
    </w:p>
    <w:p w14:paraId="0AF87542">
      <w:pPr>
        <w:ind w:firstLine="562" w:firstLineChars="200"/>
        <w:rPr>
          <w:rFonts w:hint="eastAsia" w:ascii="仿宋" w:hAnsi="仿宋" w:eastAsia="仿宋"/>
          <w:b/>
          <w:sz w:val="28"/>
          <w:szCs w:val="28"/>
        </w:rPr>
      </w:pPr>
      <w:r>
        <w:rPr>
          <w:rFonts w:hint="eastAsia" w:ascii="仿宋" w:hAnsi="仿宋" w:eastAsia="仿宋"/>
          <w:b/>
          <w:sz w:val="28"/>
          <w:szCs w:val="28"/>
        </w:rPr>
        <w:t>5、工作准备</w:t>
      </w:r>
    </w:p>
    <w:p w14:paraId="78B70A66">
      <w:pPr>
        <w:ind w:firstLine="560" w:firstLineChars="200"/>
        <w:rPr>
          <w:rFonts w:hint="eastAsia" w:ascii="仿宋" w:hAnsi="仿宋" w:eastAsia="仿宋"/>
          <w:bCs/>
          <w:sz w:val="28"/>
          <w:szCs w:val="28"/>
        </w:rPr>
      </w:pPr>
      <w:r>
        <w:rPr>
          <w:rFonts w:hint="eastAsia" w:ascii="仿宋" w:hAnsi="仿宋" w:eastAsia="仿宋"/>
          <w:bCs/>
          <w:sz w:val="28"/>
          <w:szCs w:val="28"/>
        </w:rPr>
        <w:t>明确信息收集范围和主要内容，提出资料完整性分析及补充调查要求。明确分区风险单元划分的技术方法。</w:t>
      </w:r>
    </w:p>
    <w:p w14:paraId="2116F410">
      <w:pPr>
        <w:ind w:firstLine="562" w:firstLineChars="200"/>
        <w:rPr>
          <w:rFonts w:hint="eastAsia" w:ascii="仿宋" w:hAnsi="仿宋" w:eastAsia="仿宋"/>
          <w:b/>
          <w:sz w:val="28"/>
          <w:szCs w:val="28"/>
        </w:rPr>
      </w:pPr>
      <w:r>
        <w:rPr>
          <w:rFonts w:hint="eastAsia" w:ascii="仿宋" w:hAnsi="仿宋" w:eastAsia="仿宋"/>
          <w:b/>
          <w:sz w:val="28"/>
          <w:szCs w:val="28"/>
        </w:rPr>
        <w:t>6、环境污染风险评估</w:t>
      </w:r>
    </w:p>
    <w:p w14:paraId="6FE4C9A7">
      <w:pPr>
        <w:ind w:firstLine="560" w:firstLineChars="200"/>
        <w:rPr>
          <w:rFonts w:hint="eastAsia" w:ascii="仿宋" w:hAnsi="仿宋" w:eastAsia="仿宋"/>
          <w:bCs/>
          <w:sz w:val="28"/>
          <w:szCs w:val="28"/>
        </w:rPr>
      </w:pPr>
      <w:r>
        <w:rPr>
          <w:rFonts w:hint="eastAsia" w:ascii="仿宋" w:hAnsi="仿宋" w:eastAsia="仿宋"/>
          <w:bCs/>
          <w:sz w:val="28"/>
          <w:szCs w:val="28"/>
        </w:rPr>
        <w:t>包括风险识别、风险量化、风险分级和风险表达。其中“风险识别”规定了源-途径-受体识别、特征污染物识别、污染风险概念模型构建的技术要求。“风险量化”提出了2个层次的风险量化评估，第一层次风险量化评估建立起废渣堆、矿硐等风险源危害性评估指标体系及危害性指数计算方法，开展各个风险源危害性的评估，建立方法计算出污染风险单元的风险源危害性（H）；第二层次风险量化评估建立起污染迁移性（M）、环境敏感性（S）指标体系，建立方法计算出污染风险单元的污染风险值。“风险分级”根据风险量化评估数值大小开展风险等级的划分。“风险表达”提出了指数法、地图法等两种方式。</w:t>
      </w:r>
    </w:p>
    <w:p w14:paraId="2A16E7A8">
      <w:pPr>
        <w:ind w:firstLine="562" w:firstLineChars="200"/>
        <w:rPr>
          <w:rFonts w:hint="eastAsia" w:ascii="仿宋" w:hAnsi="仿宋" w:eastAsia="仿宋"/>
          <w:b/>
          <w:sz w:val="28"/>
          <w:szCs w:val="28"/>
        </w:rPr>
      </w:pPr>
      <w:r>
        <w:rPr>
          <w:rFonts w:hint="eastAsia" w:ascii="仿宋" w:hAnsi="仿宋" w:eastAsia="仿宋"/>
          <w:b/>
          <w:sz w:val="28"/>
          <w:szCs w:val="28"/>
        </w:rPr>
        <w:t>7、风险防控目标与策略制定</w:t>
      </w:r>
    </w:p>
    <w:p w14:paraId="72D0D52B">
      <w:pPr>
        <w:ind w:firstLine="560" w:firstLineChars="200"/>
        <w:rPr>
          <w:rFonts w:hint="eastAsia" w:ascii="仿宋" w:hAnsi="仿宋" w:eastAsia="仿宋"/>
          <w:bCs/>
          <w:sz w:val="28"/>
          <w:szCs w:val="28"/>
        </w:rPr>
      </w:pPr>
      <w:r>
        <w:rPr>
          <w:rFonts w:hint="eastAsia" w:ascii="仿宋" w:hAnsi="仿宋" w:eastAsia="仿宋"/>
          <w:bCs/>
          <w:sz w:val="28"/>
          <w:szCs w:val="28"/>
        </w:rPr>
        <w:t>基于环境风险评估结果，结合环境管理要求和现场实际，提出涉金属矿山环境污染分区防控目标与防控策略制定的方法。</w:t>
      </w:r>
    </w:p>
    <w:p w14:paraId="502BBE9C">
      <w:pPr>
        <w:ind w:firstLine="562" w:firstLineChars="200"/>
        <w:rPr>
          <w:rFonts w:hint="eastAsia" w:ascii="仿宋" w:hAnsi="仿宋" w:eastAsia="仿宋"/>
          <w:b/>
          <w:sz w:val="28"/>
          <w:szCs w:val="28"/>
        </w:rPr>
      </w:pPr>
      <w:r>
        <w:rPr>
          <w:rFonts w:hint="eastAsia" w:ascii="仿宋" w:hAnsi="仿宋" w:eastAsia="仿宋"/>
          <w:b/>
          <w:sz w:val="28"/>
          <w:szCs w:val="28"/>
        </w:rPr>
        <w:t>8、报告编制</w:t>
      </w:r>
    </w:p>
    <w:p w14:paraId="66038E66">
      <w:pPr>
        <w:ind w:firstLine="560" w:firstLineChars="200"/>
        <w:rPr>
          <w:rFonts w:hint="eastAsia" w:ascii="仿宋" w:hAnsi="仿宋" w:eastAsia="仿宋"/>
          <w:bCs/>
          <w:sz w:val="28"/>
          <w:szCs w:val="28"/>
        </w:rPr>
      </w:pPr>
      <w:r>
        <w:rPr>
          <w:rFonts w:hint="eastAsia" w:ascii="仿宋" w:hAnsi="仿宋" w:eastAsia="仿宋"/>
          <w:bCs/>
          <w:sz w:val="28"/>
          <w:szCs w:val="28"/>
        </w:rPr>
        <w:t>提出历史遗留矿山污染分区风险评估及防控报告编制大纲（见附录D），明确报告编制与评审要求。</w:t>
      </w:r>
    </w:p>
    <w:p w14:paraId="1A3001F1">
      <w:pPr>
        <w:pStyle w:val="3"/>
      </w:pPr>
      <w:bookmarkStart w:id="30" w:name="_Toc194590191"/>
      <w:r>
        <w:rPr>
          <w:rFonts w:hint="eastAsia"/>
        </w:rPr>
        <w:t>（三）主要技术要求分析</w:t>
      </w:r>
      <w:bookmarkEnd w:id="30"/>
    </w:p>
    <w:p w14:paraId="4C9CB79E">
      <w:pPr>
        <w:pStyle w:val="5"/>
      </w:pPr>
      <w:r>
        <w:rPr>
          <w:rFonts w:hint="eastAsia"/>
        </w:rPr>
        <w:t>1、术语和定义</w:t>
      </w:r>
    </w:p>
    <w:p w14:paraId="31AA9B15">
      <w:pPr>
        <w:spacing w:line="560" w:lineRule="exact"/>
        <w:ind w:firstLine="560" w:firstLineChars="200"/>
        <w:rPr>
          <w:rFonts w:hint="eastAsia" w:ascii="仿宋" w:hAnsi="仿宋" w:eastAsia="仿宋"/>
          <w:bCs/>
          <w:sz w:val="28"/>
          <w:szCs w:val="28"/>
        </w:rPr>
      </w:pPr>
      <w:r>
        <w:rPr>
          <w:rFonts w:hint="eastAsia" w:ascii="仿宋" w:hAnsi="仿宋" w:eastAsia="仿宋"/>
          <w:bCs/>
          <w:sz w:val="28"/>
          <w:szCs w:val="28"/>
        </w:rPr>
        <w:t>本文件提出的污染风险单元是指涉金属矿山开采活动区域内一个相对独立的汇水区或小流域，其中分布有一个或多个污染风险源。污染风险单元是风险评估的主要对象，本文件指的风险评估就是针对污染风险单元按照一定的技术方法计算其风险值，确定风险等级，对该污染风险单元进行风险表达，提出相应的风险防控策略。</w:t>
      </w:r>
    </w:p>
    <w:p w14:paraId="09F0B16F">
      <w:pPr>
        <w:spacing w:line="560" w:lineRule="exact"/>
        <w:ind w:firstLine="560" w:firstLineChars="200"/>
        <w:rPr>
          <w:rFonts w:hint="eastAsia" w:ascii="仿宋" w:hAnsi="仿宋" w:eastAsia="仿宋"/>
          <w:bCs/>
          <w:sz w:val="28"/>
          <w:szCs w:val="28"/>
        </w:rPr>
      </w:pPr>
      <w:bookmarkStart w:id="31" w:name="_Hlk182946457"/>
      <w:r>
        <w:rPr>
          <w:rFonts w:hint="eastAsia" w:ascii="仿宋" w:hAnsi="仿宋" w:eastAsia="仿宋"/>
          <w:bCs/>
          <w:sz w:val="28"/>
          <w:szCs w:val="28"/>
        </w:rPr>
        <w:t>本文件提出了对照断面、污染控制断面、风险管控断面、质量控制断面等四种类型的断面。对照断面、污染控制断面等2个术语引自《地表水环境质量监测技术规范》（</w:t>
      </w:r>
      <w:r>
        <w:rPr>
          <w:rFonts w:ascii="仿宋" w:hAnsi="仿宋" w:eastAsia="仿宋"/>
          <w:bCs/>
          <w:sz w:val="28"/>
          <w:szCs w:val="28"/>
        </w:rPr>
        <w:t>HJ 91.2—2022</w:t>
      </w:r>
      <w:r>
        <w:rPr>
          <w:rFonts w:hint="eastAsia" w:ascii="仿宋" w:hAnsi="仿宋" w:eastAsia="仿宋"/>
          <w:bCs/>
          <w:sz w:val="28"/>
          <w:szCs w:val="28"/>
        </w:rPr>
        <w:t>），分别用来反映污染风险单元内所有污染源上游、下游的水质情况。本文件提出的风险管控断面</w:t>
      </w:r>
      <w:bookmarkEnd w:id="31"/>
      <w:r>
        <w:rPr>
          <w:rFonts w:hint="eastAsia" w:ascii="仿宋" w:hAnsi="仿宋" w:eastAsia="仿宋"/>
          <w:bCs/>
          <w:sz w:val="28"/>
          <w:szCs w:val="28"/>
        </w:rPr>
        <w:t>和质量控制断面等2个定义引用自《陕西省汉丹江流域涉金属矿山综合整治规划（2021-2030年）》，该规划对风险管控断面和质量控制断面进行了定义，并作为风险防控区和污染风险单元重金属特征污染物浓度控制很重要的断面进行采样监测，以判定污染风险单元和风险防控区重金属特征污染物污染防治和风险防控的趋势和成效。污染控制断面位于污染源下游一定距离，用该断面重金属特征污染物浓度变化情况直接反映污染源污染防治工程实施成效和变化。为了确保质量控制断面达到一定的防控目标要求，需要设置风险防控断面，风险管控断面用来反映溪流或支沟流出污染风险单元时的水质状况，是污染风险单元的出界断面，用于监测在完成源头阻断情况下，特征污染物通过河流自净和自然恢复逐步衰减的趋势。质量控制断面用来反映地表水体水质达标情况，一般设置在主要河流流出风险防控区的边界处，若风险防控区内涉及考核断面、饮用水取水口、水源保护区、湖库等重要风险受体，则设置在各受体边界。</w:t>
      </w:r>
    </w:p>
    <w:p w14:paraId="5E8A119E">
      <w:pPr>
        <w:spacing w:line="560" w:lineRule="exact"/>
        <w:ind w:firstLine="560" w:firstLineChars="200"/>
        <w:rPr>
          <w:rFonts w:hint="eastAsia" w:ascii="仿宋" w:hAnsi="仿宋" w:eastAsia="仿宋"/>
          <w:bCs/>
          <w:sz w:val="28"/>
          <w:szCs w:val="28"/>
        </w:rPr>
      </w:pPr>
      <w:r>
        <w:rPr>
          <w:rFonts w:hint="eastAsia" w:ascii="仿宋" w:hAnsi="仿宋" w:eastAsia="仿宋"/>
          <w:bCs/>
          <w:sz w:val="28"/>
          <w:szCs w:val="28"/>
        </w:rPr>
        <w:t>本文件提出了风险源危害性、污染物迁移性和受体敏感性等三个术语，这是按照风险防控三要素理论提出的，是风险防控中常见的三个基本术语。其中“环境危害性”“环境敏感性”概念引用自</w:t>
      </w:r>
      <w:r>
        <w:rPr>
          <w:rFonts w:hint="eastAsia" w:ascii="仿宋" w:hAnsi="仿宋" w:eastAsia="仿宋" w:cs="黑体"/>
          <w:sz w:val="28"/>
          <w:szCs w:val="28"/>
        </w:rPr>
        <w:t>《尾矿库环境风险评估技术导则（试行）》（HJ 740-2015）。</w:t>
      </w:r>
      <w:r>
        <w:rPr>
          <w:rFonts w:hint="eastAsia" w:ascii="仿宋" w:hAnsi="仿宋" w:eastAsia="仿宋"/>
          <w:bCs/>
          <w:sz w:val="28"/>
          <w:szCs w:val="28"/>
        </w:rPr>
        <w:t>本文件结合陕西省涉金属矿山污染源和周边受体实际情况，对这三个术语的含义进行了阐释。</w:t>
      </w:r>
    </w:p>
    <w:p w14:paraId="5FCC324A">
      <w:pPr>
        <w:spacing w:line="560" w:lineRule="exact"/>
        <w:ind w:firstLine="560" w:firstLineChars="200"/>
        <w:rPr>
          <w:rFonts w:hint="eastAsia" w:ascii="仿宋" w:hAnsi="仿宋" w:eastAsia="仿宋"/>
          <w:color w:val="FF0000"/>
          <w:sz w:val="28"/>
          <w:szCs w:val="28"/>
        </w:rPr>
      </w:pPr>
      <w:r>
        <w:rPr>
          <w:rFonts w:hint="eastAsia" w:ascii="仿宋" w:hAnsi="仿宋" w:eastAsia="仿宋"/>
          <w:bCs/>
          <w:sz w:val="28"/>
          <w:szCs w:val="28"/>
        </w:rPr>
        <w:t>为形象理解上述各个断面的含义，以西乡县硫铁矿历史遗留矿山污染风险防控区为例，阐释各个术语和定义的含义和相关之间的关系，见图4-1。污染风险源分布在泡桐沟、乌云沟2条支沟内，分为泡桐沟污染风险单元、乌云沟污染风险单元。污染风险防控区范围涵盖污染风险单元，及下游一定范围的风险受体。在污染风险源上游布设对照断面，在泡桐沟汇入牟子河口前50m，以及乌云沟汇入牟子河口前50m处分别布设风险管控断面，在污染风险单元外居民集聚区的饮用水取水口布设质量控制断面。</w:t>
      </w:r>
    </w:p>
    <w:p w14:paraId="6C8A2798">
      <w:pPr>
        <w:jc w:val="center"/>
        <w:rPr>
          <w:rFonts w:hint="eastAsia" w:ascii="仿宋" w:hAnsi="仿宋" w:eastAsia="仿宋"/>
          <w:color w:val="FF0000"/>
          <w:sz w:val="28"/>
          <w:szCs w:val="28"/>
        </w:rPr>
      </w:pPr>
      <w:r>
        <w:drawing>
          <wp:inline distT="0" distB="0" distL="0" distR="0">
            <wp:extent cx="5278120" cy="3683000"/>
            <wp:effectExtent l="0" t="0" r="0" b="0"/>
            <wp:docPr id="17301380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138086" name="图片 1"/>
                    <pic:cNvPicPr>
                      <a:picLocks noChangeAspect="1"/>
                    </pic:cNvPicPr>
                  </pic:nvPicPr>
                  <pic:blipFill>
                    <a:blip r:embed="rId10"/>
                    <a:stretch>
                      <a:fillRect/>
                    </a:stretch>
                  </pic:blipFill>
                  <pic:spPr>
                    <a:xfrm>
                      <a:off x="0" y="0"/>
                      <a:ext cx="5278120" cy="3683000"/>
                    </a:xfrm>
                    <a:prstGeom prst="rect">
                      <a:avLst/>
                    </a:prstGeom>
                  </pic:spPr>
                </pic:pic>
              </a:graphicData>
            </a:graphic>
          </wp:inline>
        </w:drawing>
      </w:r>
      <w:r>
        <w:rPr>
          <w:rFonts w:hint="eastAsia" w:ascii="黑体" w:hAnsi="黑体" w:eastAsia="黑体"/>
          <w:bCs/>
          <w:sz w:val="24"/>
          <w:szCs w:val="24"/>
        </w:rPr>
        <w:t>图4-1 西乡县硫铁矿历史遗留矿山污染风险防控区内相关断面的划定</w:t>
      </w:r>
    </w:p>
    <w:p w14:paraId="25F1A3B8">
      <w:pPr>
        <w:pStyle w:val="5"/>
      </w:pPr>
      <w:r>
        <w:rPr>
          <w:rFonts w:hint="eastAsia"/>
        </w:rPr>
        <w:t>2、风险评估范围的确定</w:t>
      </w:r>
    </w:p>
    <w:p w14:paraId="2182D36B">
      <w:pPr>
        <w:spacing w:line="560" w:lineRule="exact"/>
        <w:ind w:firstLine="560" w:firstLineChars="200"/>
        <w:rPr>
          <w:rFonts w:hint="eastAsia" w:ascii="仿宋" w:hAnsi="仿宋" w:eastAsia="仿宋"/>
          <w:bCs/>
          <w:sz w:val="28"/>
          <w:szCs w:val="28"/>
        </w:rPr>
      </w:pPr>
      <w:r>
        <w:rPr>
          <w:rFonts w:hint="eastAsia" w:ascii="仿宋" w:hAnsi="仿宋" w:eastAsia="仿宋"/>
          <w:bCs/>
          <w:sz w:val="28"/>
          <w:szCs w:val="28"/>
        </w:rPr>
        <w:t>风险评估范围涵盖涉金属矿山“源-途径-受体”体系。基于陕西实际，涉金属矿山周边水系较发达，水力迁移是特征污染物的主要迁移扩散方式，本文件提出风险受体的评估范围以风险防控断面下游3公里为界，结合分水岭、环境功能区划等划定风险受体保护范围，与污染风险单元一同构成风险评估范围。若矿山周边不涉水，则参考《危险废物处置场和垃圾填埋场地下水环境状况调查评估技术指南》（环办便函〔2022〕382号），以风险防控断面下游1公里为界划定受体范围。若矿山规模较大，监测表明污染影响范围不限于3公里范围时，风险受体保护范围可根据水文地质条件、汇水单元、周边污染状况进行适当调整。此外，考虑到一些废渣露天堆放情景，风力迁移也是一种污染传输途径，在划定受体保护范围时若风力迁移是主导因素，则需考虑污染物的风力迁移影响距离。</w:t>
      </w:r>
    </w:p>
    <w:p w14:paraId="1197B2E6">
      <w:pPr>
        <w:pStyle w:val="5"/>
      </w:pPr>
      <w:r>
        <w:rPr>
          <w:rFonts w:hint="eastAsia"/>
        </w:rPr>
        <w:t>3、风险评估技术流程</w:t>
      </w:r>
    </w:p>
    <w:p w14:paraId="49F52AF7">
      <w:pPr>
        <w:spacing w:line="560" w:lineRule="exact"/>
        <w:ind w:firstLine="560" w:firstLineChars="200"/>
        <w:rPr>
          <w:rFonts w:hint="eastAsia" w:ascii="仿宋" w:hAnsi="仿宋" w:eastAsia="仿宋"/>
          <w:b/>
          <w:sz w:val="28"/>
          <w:szCs w:val="28"/>
        </w:rPr>
      </w:pPr>
      <w:r>
        <w:rPr>
          <w:rFonts w:hint="eastAsia" w:ascii="仿宋" w:hAnsi="仿宋" w:eastAsia="仿宋"/>
          <w:bCs/>
          <w:sz w:val="28"/>
          <w:szCs w:val="28"/>
        </w:rPr>
        <w:t>涉金属矿山污染分区环境风险评估及防控策略制定主要包括准备阶段（含信息收集与分析、污染风险单元划分）、风险评估阶段（含风险识别、第一层次风险量化评估、第二层次风险量化评估、风险分级、风险表达）、防控策略制定阶段（制定风险防控目标、制定风险防控策略）、编制风险评估报告等</w:t>
      </w:r>
      <w:r>
        <w:rPr>
          <w:rFonts w:hint="eastAsia" w:ascii="仿宋" w:hAnsi="仿宋" w:eastAsia="仿宋"/>
          <w:b/>
          <w:sz w:val="28"/>
          <w:szCs w:val="28"/>
        </w:rPr>
        <w:t>4个阶段10个步骤。</w:t>
      </w:r>
    </w:p>
    <w:p w14:paraId="1FBFACF7">
      <w:pPr>
        <w:spacing w:line="560" w:lineRule="exact"/>
        <w:ind w:firstLine="560" w:firstLineChars="200"/>
        <w:rPr>
          <w:rFonts w:hint="eastAsia" w:ascii="仿宋" w:hAnsi="仿宋" w:eastAsia="仿宋"/>
          <w:bCs/>
          <w:sz w:val="28"/>
          <w:szCs w:val="28"/>
        </w:rPr>
      </w:pPr>
      <w:r>
        <w:rPr>
          <w:rFonts w:hint="eastAsia" w:ascii="仿宋" w:hAnsi="仿宋" w:eastAsia="仿宋"/>
          <w:bCs/>
          <w:sz w:val="28"/>
          <w:szCs w:val="28"/>
        </w:rPr>
        <w:t>风险识别规定了特征污染物识别、源-途径-受体识别、污染风险概念模型构建的技术要求。需要对每个被评估单元的污染源、污染物迁移途径、敏感受体按照指南提出的方法进行充分识别，这是开展后续风险评估的重要基础。</w:t>
      </w:r>
    </w:p>
    <w:p w14:paraId="05EEC4AC">
      <w:pPr>
        <w:spacing w:line="560" w:lineRule="exact"/>
        <w:ind w:firstLine="560" w:firstLineChars="200"/>
        <w:rPr>
          <w:rFonts w:hint="eastAsia" w:ascii="仿宋" w:hAnsi="仿宋" w:eastAsia="仿宋"/>
          <w:bCs/>
          <w:sz w:val="28"/>
          <w:szCs w:val="28"/>
        </w:rPr>
      </w:pPr>
      <w:r>
        <w:rPr>
          <w:rFonts w:hint="eastAsia" w:ascii="仿宋" w:hAnsi="仿宋" w:eastAsia="仿宋"/>
          <w:bCs/>
          <w:sz w:val="28"/>
          <w:szCs w:val="28"/>
        </w:rPr>
        <w:t>本文件将风险评估分为两个层次，第一层次即是首先对污染风险单元内每处废渣、废弃矿硐等风险源的危害性大小分别进行计算，然后按照一定技术方法得出该风险单元内污染源整体的危害性值，从而为后续风险单元风险评估奠定基础，同时通过第一层次评估，可得出每个废渣、矿硐危害性值和大小排序。第二层次风险评估是将风险单元内的风险源危害性-污染物迁移性-环境受体敏感性等风险三要素分别设置一定的评价指标，按照一定的技术方法计算得出每个风险单元的风险值大小，按照风险值大小进行不同单元风险值的高低排序。</w:t>
      </w:r>
    </w:p>
    <w:p w14:paraId="0874963D">
      <w:pPr>
        <w:spacing w:line="560" w:lineRule="exact"/>
        <w:ind w:firstLine="560" w:firstLineChars="200"/>
        <w:rPr>
          <w:rFonts w:hint="eastAsia" w:ascii="仿宋" w:hAnsi="仿宋" w:eastAsia="仿宋"/>
          <w:bCs/>
          <w:sz w:val="28"/>
          <w:szCs w:val="28"/>
        </w:rPr>
      </w:pPr>
      <w:r>
        <w:rPr>
          <w:rFonts w:hint="eastAsia" w:ascii="仿宋" w:hAnsi="仿宋" w:eastAsia="仿宋"/>
          <w:bCs/>
          <w:sz w:val="28"/>
          <w:szCs w:val="28"/>
        </w:rPr>
        <w:t>在得出污染风险单元风险值后，按照本文件给出的划分方法，将不同污染风险单元划分为高风险、中风险和低风险等不同等级，这就是风险等级划分。最后进行风险表达，即按照指南提出的指数方式和地图方式进行风险的表达。</w:t>
      </w:r>
    </w:p>
    <w:p w14:paraId="795C5DCD">
      <w:pPr>
        <w:pStyle w:val="5"/>
      </w:pPr>
      <w:r>
        <w:rPr>
          <w:rFonts w:hint="eastAsia"/>
        </w:rPr>
        <w:t>4、评价指标体系构建和指标权重赋值</w:t>
      </w:r>
    </w:p>
    <w:p w14:paraId="677D631B">
      <w:pPr>
        <w:pStyle w:val="6"/>
        <w:spacing w:before="0" w:after="0" w:line="240" w:lineRule="auto"/>
        <w:ind w:left="862" w:hanging="862"/>
        <w:rPr>
          <w:rFonts w:hint="eastAsia" w:ascii="华文楷体" w:hAnsi="华文楷体" w:eastAsia="华文楷体"/>
        </w:rPr>
      </w:pPr>
      <w:r>
        <w:rPr>
          <w:rFonts w:hint="eastAsia" w:ascii="华文楷体" w:hAnsi="华文楷体" w:eastAsia="华文楷体"/>
        </w:rPr>
        <w:t>（1）评价指标体系构建</w:t>
      </w:r>
    </w:p>
    <w:p w14:paraId="5692E5B9">
      <w:pPr>
        <w:spacing w:line="560" w:lineRule="exact"/>
        <w:ind w:firstLine="560" w:firstLineChars="200"/>
        <w:rPr>
          <w:rFonts w:hint="eastAsia" w:ascii="仿宋" w:hAnsi="仿宋" w:eastAsia="仿宋"/>
          <w:bCs/>
          <w:sz w:val="28"/>
          <w:szCs w:val="28"/>
        </w:rPr>
      </w:pPr>
      <w:r>
        <w:rPr>
          <w:rFonts w:hint="eastAsia" w:ascii="仿宋" w:hAnsi="仿宋" w:eastAsia="仿宋"/>
          <w:bCs/>
          <w:sz w:val="28"/>
          <w:szCs w:val="28"/>
        </w:rPr>
        <w:t>本指南风险评估指标体系的构建参考了</w:t>
      </w:r>
      <w:r>
        <w:rPr>
          <w:rFonts w:ascii="仿宋" w:hAnsi="仿宋" w:eastAsia="仿宋" w:cs="黑体"/>
          <w:sz w:val="28"/>
          <w:szCs w:val="28"/>
        </w:rPr>
        <w:t>《行政区域突发环境事件风险评估推荐方法》</w:t>
      </w:r>
      <w:r>
        <w:rPr>
          <w:rFonts w:hint="eastAsia" w:ascii="仿宋" w:hAnsi="仿宋" w:eastAsia="仿宋" w:cs="黑体"/>
          <w:sz w:val="28"/>
          <w:szCs w:val="28"/>
        </w:rPr>
        <w:t>（环办应急〔2018〕9号）、《尾矿库环境风险评估技术导则（试行）》（HJ 740-2015）,并分析了陕西省白河县硫铁矿、旬阳县汞铅矿等矿区风险评估案例，及四川、江西、湖南等其他金属矿产大省污染风险评估案例中指标的选择、存在的问题和适用情况，对比分析评价计算模型方法（见表4-1），以指标的系统性、层次性、可获得性为原则构建出的，在此基础上，</w:t>
      </w:r>
      <w:r>
        <w:rPr>
          <w:rFonts w:hint="eastAsia" w:ascii="仿宋" w:hAnsi="仿宋" w:eastAsia="仿宋"/>
          <w:bCs/>
          <w:sz w:val="28"/>
          <w:szCs w:val="28"/>
        </w:rPr>
        <w:t>广泛征求水文地质、环境保护、风险与污染损害评估等领域专家的相关意见进行修改完善。</w:t>
      </w:r>
    </w:p>
    <w:p w14:paraId="69DCCCAC">
      <w:pPr>
        <w:jc w:val="center"/>
        <w:rPr>
          <w:rFonts w:hint="eastAsia" w:ascii="仿宋" w:hAnsi="仿宋" w:eastAsia="仿宋"/>
          <w:b/>
          <w:sz w:val="24"/>
          <w:szCs w:val="24"/>
        </w:rPr>
      </w:pPr>
      <w:r>
        <w:rPr>
          <w:rFonts w:hint="eastAsia" w:ascii="仿宋" w:hAnsi="仿宋" w:eastAsia="仿宋"/>
          <w:b/>
          <w:sz w:val="24"/>
          <w:szCs w:val="24"/>
        </w:rPr>
        <w:t>表4-1  评价计算模型方法的对比分析</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9"/>
        <w:gridCol w:w="3773"/>
        <w:gridCol w:w="3256"/>
      </w:tblGrid>
      <w:tr w14:paraId="3708D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trPr>
        <w:tc>
          <w:tcPr>
            <w:tcW w:w="879" w:type="pct"/>
            <w:vAlign w:val="center"/>
          </w:tcPr>
          <w:p w14:paraId="56A4CFF4">
            <w:pPr>
              <w:jc w:val="center"/>
              <w:rPr>
                <w:rFonts w:hint="eastAsia" w:ascii="仿宋" w:hAnsi="仿宋" w:eastAsia="仿宋"/>
                <w:b/>
                <w:bCs/>
                <w:kern w:val="44"/>
                <w:sz w:val="24"/>
                <w:szCs w:val="24"/>
              </w:rPr>
            </w:pPr>
            <w:r>
              <w:rPr>
                <w:rFonts w:hint="eastAsia" w:ascii="仿宋" w:hAnsi="仿宋" w:eastAsia="仿宋"/>
                <w:b/>
                <w:bCs/>
                <w:kern w:val="44"/>
                <w:sz w:val="24"/>
                <w:szCs w:val="24"/>
              </w:rPr>
              <w:t>评价模型</w:t>
            </w:r>
          </w:p>
        </w:tc>
        <w:tc>
          <w:tcPr>
            <w:tcW w:w="2212" w:type="pct"/>
            <w:vAlign w:val="center"/>
          </w:tcPr>
          <w:p w14:paraId="0BCAABF2">
            <w:pPr>
              <w:jc w:val="center"/>
              <w:rPr>
                <w:rFonts w:hint="eastAsia" w:ascii="仿宋" w:hAnsi="仿宋" w:eastAsia="仿宋"/>
                <w:b/>
                <w:bCs/>
                <w:kern w:val="44"/>
                <w:sz w:val="24"/>
                <w:szCs w:val="24"/>
              </w:rPr>
            </w:pPr>
            <w:r>
              <w:rPr>
                <w:rFonts w:hint="eastAsia" w:ascii="仿宋" w:hAnsi="仿宋" w:eastAsia="仿宋"/>
                <w:b/>
                <w:bCs/>
                <w:kern w:val="44"/>
                <w:sz w:val="24"/>
                <w:szCs w:val="24"/>
              </w:rPr>
              <w:t>优点</w:t>
            </w:r>
          </w:p>
        </w:tc>
        <w:tc>
          <w:tcPr>
            <w:tcW w:w="1909" w:type="pct"/>
            <w:vAlign w:val="center"/>
          </w:tcPr>
          <w:p w14:paraId="79331064">
            <w:pPr>
              <w:jc w:val="center"/>
              <w:rPr>
                <w:rFonts w:hint="eastAsia" w:ascii="仿宋" w:hAnsi="仿宋" w:eastAsia="仿宋"/>
                <w:b/>
                <w:bCs/>
                <w:kern w:val="44"/>
                <w:sz w:val="24"/>
                <w:szCs w:val="24"/>
              </w:rPr>
            </w:pPr>
            <w:r>
              <w:rPr>
                <w:rFonts w:hint="eastAsia" w:ascii="仿宋" w:hAnsi="仿宋" w:eastAsia="仿宋"/>
                <w:b/>
                <w:bCs/>
                <w:kern w:val="44"/>
                <w:sz w:val="24"/>
                <w:szCs w:val="24"/>
              </w:rPr>
              <w:t>不足</w:t>
            </w:r>
          </w:p>
        </w:tc>
      </w:tr>
      <w:tr w14:paraId="18B4D7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79" w:type="pct"/>
            <w:vAlign w:val="center"/>
          </w:tcPr>
          <w:p w14:paraId="6913DE49">
            <w:pPr>
              <w:jc w:val="center"/>
              <w:rPr>
                <w:rFonts w:hint="eastAsia" w:ascii="仿宋" w:hAnsi="仿宋" w:eastAsia="仿宋"/>
                <w:kern w:val="44"/>
                <w:sz w:val="24"/>
                <w:szCs w:val="24"/>
              </w:rPr>
            </w:pPr>
            <w:r>
              <w:rPr>
                <w:rFonts w:hint="eastAsia" w:ascii="仿宋" w:hAnsi="仿宋" w:eastAsia="仿宋"/>
                <w:kern w:val="44"/>
                <w:sz w:val="24"/>
                <w:szCs w:val="24"/>
              </w:rPr>
              <w:t>概率风险评价法</w:t>
            </w:r>
          </w:p>
        </w:tc>
        <w:tc>
          <w:tcPr>
            <w:tcW w:w="2212" w:type="pct"/>
            <w:vAlign w:val="center"/>
          </w:tcPr>
          <w:p w14:paraId="3A437B13">
            <w:pPr>
              <w:jc w:val="center"/>
              <w:rPr>
                <w:rFonts w:hint="eastAsia" w:ascii="仿宋" w:hAnsi="仿宋" w:eastAsia="仿宋"/>
                <w:kern w:val="44"/>
                <w:sz w:val="24"/>
                <w:szCs w:val="24"/>
              </w:rPr>
            </w:pPr>
            <w:r>
              <w:rPr>
                <w:rFonts w:hint="eastAsia" w:ascii="仿宋" w:hAnsi="仿宋" w:eastAsia="仿宋"/>
                <w:kern w:val="44"/>
                <w:sz w:val="24"/>
                <w:szCs w:val="24"/>
              </w:rPr>
              <w:t>易操作，对专业知识的要求不高</w:t>
            </w:r>
          </w:p>
        </w:tc>
        <w:tc>
          <w:tcPr>
            <w:tcW w:w="1909" w:type="pct"/>
            <w:vAlign w:val="center"/>
          </w:tcPr>
          <w:p w14:paraId="49D5589A">
            <w:pPr>
              <w:jc w:val="center"/>
              <w:rPr>
                <w:rFonts w:hint="eastAsia" w:ascii="仿宋" w:hAnsi="仿宋" w:eastAsia="仿宋"/>
                <w:kern w:val="44"/>
                <w:sz w:val="24"/>
                <w:szCs w:val="24"/>
              </w:rPr>
            </w:pPr>
            <w:r>
              <w:rPr>
                <w:rFonts w:hint="eastAsia" w:ascii="仿宋" w:hAnsi="仿宋" w:eastAsia="仿宋"/>
                <w:kern w:val="44"/>
                <w:sz w:val="24"/>
                <w:szCs w:val="24"/>
              </w:rPr>
              <w:t>主要通过统计方法进行评价，不适用于小概率风险事件和具有复杂系统的对象</w:t>
            </w:r>
          </w:p>
        </w:tc>
      </w:tr>
      <w:tr w14:paraId="181CD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79" w:type="pct"/>
            <w:vAlign w:val="center"/>
          </w:tcPr>
          <w:p w14:paraId="6CBB1A64">
            <w:pPr>
              <w:jc w:val="center"/>
              <w:rPr>
                <w:rFonts w:hint="eastAsia" w:ascii="仿宋" w:hAnsi="仿宋" w:eastAsia="仿宋"/>
                <w:kern w:val="44"/>
                <w:sz w:val="24"/>
                <w:szCs w:val="24"/>
              </w:rPr>
            </w:pPr>
            <w:r>
              <w:rPr>
                <w:rFonts w:hint="eastAsia" w:ascii="仿宋" w:hAnsi="仿宋" w:eastAsia="仿宋"/>
                <w:kern w:val="44"/>
                <w:sz w:val="24"/>
                <w:szCs w:val="24"/>
              </w:rPr>
              <w:t>危险指数评价法</w:t>
            </w:r>
          </w:p>
        </w:tc>
        <w:tc>
          <w:tcPr>
            <w:tcW w:w="2212" w:type="pct"/>
            <w:vAlign w:val="center"/>
          </w:tcPr>
          <w:p w14:paraId="60F05B92">
            <w:pPr>
              <w:jc w:val="center"/>
              <w:rPr>
                <w:rFonts w:hint="eastAsia" w:ascii="仿宋" w:hAnsi="仿宋" w:eastAsia="仿宋"/>
                <w:kern w:val="44"/>
                <w:sz w:val="24"/>
                <w:szCs w:val="24"/>
              </w:rPr>
            </w:pPr>
            <w:r>
              <w:rPr>
                <w:rFonts w:hint="eastAsia" w:ascii="仿宋" w:hAnsi="仿宋" w:eastAsia="仿宋"/>
                <w:kern w:val="44"/>
                <w:sz w:val="24"/>
                <w:szCs w:val="24"/>
              </w:rPr>
              <w:t>目前大多数尾矿库个体评价采取的评价方法，对于个体对象能够进行详尽全面的评价</w:t>
            </w:r>
          </w:p>
        </w:tc>
        <w:tc>
          <w:tcPr>
            <w:tcW w:w="1909" w:type="pct"/>
            <w:vAlign w:val="center"/>
          </w:tcPr>
          <w:p w14:paraId="7FF5E9F2">
            <w:pPr>
              <w:jc w:val="center"/>
              <w:rPr>
                <w:rFonts w:hint="eastAsia" w:ascii="仿宋" w:hAnsi="仿宋" w:eastAsia="仿宋"/>
                <w:kern w:val="44"/>
                <w:sz w:val="24"/>
                <w:szCs w:val="24"/>
              </w:rPr>
            </w:pPr>
            <w:r>
              <w:rPr>
                <w:rFonts w:hint="eastAsia" w:ascii="仿宋" w:hAnsi="仿宋" w:eastAsia="仿宋"/>
                <w:kern w:val="44"/>
                <w:sz w:val="24"/>
                <w:szCs w:val="24"/>
              </w:rPr>
              <w:t>不适于评价复杂系统对象和同时评价多个对象</w:t>
            </w:r>
          </w:p>
        </w:tc>
      </w:tr>
      <w:tr w14:paraId="3DA79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79" w:type="pct"/>
            <w:vAlign w:val="center"/>
          </w:tcPr>
          <w:p w14:paraId="257334E4">
            <w:pPr>
              <w:jc w:val="center"/>
              <w:rPr>
                <w:rFonts w:hint="eastAsia" w:ascii="仿宋" w:hAnsi="仿宋" w:eastAsia="仿宋"/>
                <w:kern w:val="44"/>
                <w:sz w:val="24"/>
                <w:szCs w:val="24"/>
              </w:rPr>
            </w:pPr>
            <w:r>
              <w:rPr>
                <w:rFonts w:hint="eastAsia" w:ascii="仿宋" w:hAnsi="仿宋" w:eastAsia="仿宋"/>
                <w:kern w:val="44"/>
                <w:sz w:val="24"/>
                <w:szCs w:val="24"/>
              </w:rPr>
              <w:t>模糊数学评价法</w:t>
            </w:r>
          </w:p>
        </w:tc>
        <w:tc>
          <w:tcPr>
            <w:tcW w:w="2212" w:type="pct"/>
            <w:vAlign w:val="center"/>
          </w:tcPr>
          <w:p w14:paraId="4FC0CB85">
            <w:pPr>
              <w:jc w:val="center"/>
              <w:rPr>
                <w:rFonts w:hint="eastAsia" w:ascii="仿宋" w:hAnsi="仿宋" w:eastAsia="仿宋"/>
                <w:kern w:val="44"/>
                <w:sz w:val="24"/>
                <w:szCs w:val="24"/>
              </w:rPr>
            </w:pPr>
            <w:r>
              <w:rPr>
                <w:rFonts w:hint="eastAsia" w:ascii="仿宋" w:hAnsi="仿宋" w:eastAsia="仿宋"/>
                <w:kern w:val="44"/>
                <w:sz w:val="24"/>
                <w:szCs w:val="24"/>
              </w:rPr>
              <w:t>适用于数据不完善、信息不确定的评价对象</w:t>
            </w:r>
          </w:p>
        </w:tc>
        <w:tc>
          <w:tcPr>
            <w:tcW w:w="1909" w:type="pct"/>
            <w:vAlign w:val="center"/>
          </w:tcPr>
          <w:p w14:paraId="324C8C1A">
            <w:pPr>
              <w:jc w:val="center"/>
              <w:rPr>
                <w:rFonts w:hint="eastAsia" w:ascii="仿宋" w:hAnsi="仿宋" w:eastAsia="仿宋"/>
                <w:kern w:val="44"/>
                <w:sz w:val="24"/>
                <w:szCs w:val="24"/>
              </w:rPr>
            </w:pPr>
            <w:r>
              <w:rPr>
                <w:rFonts w:hint="eastAsia" w:ascii="仿宋" w:hAnsi="仿宋" w:eastAsia="仿宋"/>
                <w:kern w:val="44"/>
                <w:sz w:val="24"/>
                <w:szCs w:val="24"/>
              </w:rPr>
              <w:t>评价过程复杂，不易操作</w:t>
            </w:r>
          </w:p>
        </w:tc>
      </w:tr>
      <w:tr w14:paraId="5103B4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79" w:type="pct"/>
            <w:vAlign w:val="center"/>
          </w:tcPr>
          <w:p w14:paraId="60B28010">
            <w:pPr>
              <w:jc w:val="center"/>
              <w:rPr>
                <w:rFonts w:hint="eastAsia" w:ascii="仿宋" w:hAnsi="仿宋" w:eastAsia="仿宋"/>
                <w:kern w:val="44"/>
                <w:sz w:val="24"/>
                <w:szCs w:val="24"/>
              </w:rPr>
            </w:pPr>
            <w:r>
              <w:rPr>
                <w:rFonts w:hint="eastAsia" w:ascii="仿宋" w:hAnsi="仿宋" w:eastAsia="仿宋"/>
                <w:kern w:val="44"/>
                <w:sz w:val="24"/>
                <w:szCs w:val="24"/>
              </w:rPr>
              <w:t>层次模型评价法</w:t>
            </w:r>
          </w:p>
        </w:tc>
        <w:tc>
          <w:tcPr>
            <w:tcW w:w="2212" w:type="pct"/>
            <w:vAlign w:val="center"/>
          </w:tcPr>
          <w:p w14:paraId="3AE7CCC4">
            <w:pPr>
              <w:jc w:val="center"/>
              <w:rPr>
                <w:rFonts w:hint="eastAsia" w:ascii="仿宋" w:hAnsi="仿宋" w:eastAsia="仿宋"/>
                <w:kern w:val="44"/>
                <w:sz w:val="24"/>
                <w:szCs w:val="24"/>
              </w:rPr>
            </w:pPr>
            <w:r>
              <w:rPr>
                <w:rFonts w:hint="eastAsia" w:ascii="仿宋" w:hAnsi="仿宋" w:eastAsia="仿宋"/>
                <w:kern w:val="44"/>
                <w:sz w:val="24"/>
                <w:szCs w:val="24"/>
              </w:rPr>
              <w:t>是一种定性和定量相结合的、系统化、层次化的分析方法，可以处理复杂的决策问题</w:t>
            </w:r>
          </w:p>
        </w:tc>
        <w:tc>
          <w:tcPr>
            <w:tcW w:w="1909" w:type="pct"/>
            <w:vAlign w:val="center"/>
          </w:tcPr>
          <w:p w14:paraId="69A744B5">
            <w:pPr>
              <w:jc w:val="center"/>
              <w:rPr>
                <w:rFonts w:hint="eastAsia" w:ascii="仿宋" w:hAnsi="仿宋" w:eastAsia="仿宋"/>
                <w:kern w:val="44"/>
                <w:sz w:val="24"/>
                <w:szCs w:val="24"/>
              </w:rPr>
            </w:pPr>
            <w:r>
              <w:rPr>
                <w:rFonts w:hint="eastAsia" w:ascii="仿宋" w:hAnsi="仿宋" w:eastAsia="仿宋"/>
                <w:kern w:val="44"/>
                <w:sz w:val="24"/>
                <w:szCs w:val="24"/>
              </w:rPr>
              <w:t>需要建立复杂的评价体系，需要具有较为完善的专业知识</w:t>
            </w:r>
          </w:p>
        </w:tc>
      </w:tr>
    </w:tbl>
    <w:p w14:paraId="163E4559">
      <w:pPr>
        <w:spacing w:line="560" w:lineRule="exact"/>
        <w:ind w:firstLine="560" w:firstLineChars="200"/>
        <w:rPr>
          <w:rFonts w:hint="eastAsia" w:ascii="仿宋" w:hAnsi="仿宋" w:eastAsia="仿宋"/>
          <w:bCs/>
          <w:sz w:val="28"/>
          <w:szCs w:val="28"/>
        </w:rPr>
      </w:pPr>
      <w:r>
        <w:rPr>
          <w:rFonts w:hint="eastAsia" w:ascii="仿宋" w:hAnsi="仿宋" w:eastAsia="仿宋"/>
          <w:bCs/>
          <w:sz w:val="28"/>
          <w:szCs w:val="28"/>
        </w:rPr>
        <w:t>确定风险等级方法时，通过对静态阈值法、动态分级法等两种方法的对比分析（见表4-2所示），本指南采用了静态阈值法开展分级方法设计。</w:t>
      </w:r>
    </w:p>
    <w:p w14:paraId="3F10C33D">
      <w:pPr>
        <w:jc w:val="center"/>
        <w:rPr>
          <w:rFonts w:hint="eastAsia" w:ascii="仿宋" w:hAnsi="仿宋" w:eastAsia="仿宋"/>
          <w:b/>
          <w:sz w:val="24"/>
          <w:szCs w:val="24"/>
        </w:rPr>
      </w:pPr>
      <w:r>
        <w:rPr>
          <w:rFonts w:hint="eastAsia" w:ascii="仿宋" w:hAnsi="仿宋" w:eastAsia="仿宋"/>
          <w:b/>
          <w:sz w:val="24"/>
          <w:szCs w:val="24"/>
        </w:rPr>
        <w:t>表4-2 分级分类方法对比分析</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9"/>
        <w:gridCol w:w="2719"/>
        <w:gridCol w:w="4310"/>
      </w:tblGrid>
      <w:tr w14:paraId="3A0C3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trPr>
        <w:tc>
          <w:tcPr>
            <w:tcW w:w="879" w:type="pct"/>
            <w:vAlign w:val="center"/>
          </w:tcPr>
          <w:p w14:paraId="011ECAAA">
            <w:pPr>
              <w:jc w:val="center"/>
              <w:rPr>
                <w:rFonts w:hint="eastAsia" w:ascii="仿宋" w:hAnsi="仿宋" w:eastAsia="仿宋"/>
                <w:b/>
                <w:bCs/>
                <w:kern w:val="44"/>
                <w:sz w:val="24"/>
                <w:szCs w:val="24"/>
              </w:rPr>
            </w:pPr>
            <w:r>
              <w:rPr>
                <w:rFonts w:hint="eastAsia" w:ascii="仿宋" w:hAnsi="仿宋" w:eastAsia="仿宋"/>
                <w:b/>
                <w:bCs/>
                <w:kern w:val="44"/>
                <w:sz w:val="24"/>
                <w:szCs w:val="24"/>
              </w:rPr>
              <w:t>评价模型</w:t>
            </w:r>
          </w:p>
        </w:tc>
        <w:tc>
          <w:tcPr>
            <w:tcW w:w="1594" w:type="pct"/>
            <w:vAlign w:val="center"/>
          </w:tcPr>
          <w:p w14:paraId="15518486">
            <w:pPr>
              <w:jc w:val="center"/>
              <w:rPr>
                <w:rFonts w:hint="eastAsia" w:ascii="仿宋" w:hAnsi="仿宋" w:eastAsia="仿宋"/>
                <w:b/>
                <w:bCs/>
                <w:kern w:val="44"/>
                <w:sz w:val="24"/>
                <w:szCs w:val="24"/>
              </w:rPr>
            </w:pPr>
            <w:r>
              <w:rPr>
                <w:rFonts w:hint="eastAsia" w:ascii="仿宋" w:hAnsi="仿宋" w:eastAsia="仿宋"/>
                <w:b/>
                <w:bCs/>
                <w:kern w:val="44"/>
                <w:sz w:val="24"/>
                <w:szCs w:val="24"/>
              </w:rPr>
              <w:t>优点</w:t>
            </w:r>
          </w:p>
        </w:tc>
        <w:tc>
          <w:tcPr>
            <w:tcW w:w="2527" w:type="pct"/>
            <w:vAlign w:val="center"/>
          </w:tcPr>
          <w:p w14:paraId="7355B4F6">
            <w:pPr>
              <w:jc w:val="center"/>
              <w:rPr>
                <w:rFonts w:hint="eastAsia" w:ascii="仿宋" w:hAnsi="仿宋" w:eastAsia="仿宋"/>
                <w:b/>
                <w:bCs/>
                <w:kern w:val="44"/>
                <w:sz w:val="24"/>
                <w:szCs w:val="24"/>
              </w:rPr>
            </w:pPr>
            <w:r>
              <w:rPr>
                <w:rFonts w:hint="eastAsia" w:ascii="仿宋" w:hAnsi="仿宋" w:eastAsia="仿宋"/>
                <w:b/>
                <w:bCs/>
                <w:kern w:val="44"/>
                <w:sz w:val="24"/>
                <w:szCs w:val="24"/>
              </w:rPr>
              <w:t>不足</w:t>
            </w:r>
          </w:p>
        </w:tc>
      </w:tr>
      <w:tr w14:paraId="39D6C5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79" w:type="pct"/>
            <w:vAlign w:val="center"/>
          </w:tcPr>
          <w:p w14:paraId="013856F7">
            <w:pPr>
              <w:jc w:val="center"/>
              <w:rPr>
                <w:rFonts w:hint="eastAsia" w:ascii="仿宋" w:hAnsi="仿宋" w:eastAsia="仿宋"/>
                <w:kern w:val="44"/>
                <w:sz w:val="24"/>
                <w:szCs w:val="24"/>
              </w:rPr>
            </w:pPr>
            <w:r>
              <w:rPr>
                <w:rFonts w:hint="eastAsia" w:ascii="仿宋" w:hAnsi="仿宋" w:eastAsia="仿宋"/>
                <w:kern w:val="44"/>
                <w:sz w:val="24"/>
                <w:szCs w:val="24"/>
              </w:rPr>
              <w:t>静态阈值法</w:t>
            </w:r>
          </w:p>
        </w:tc>
        <w:tc>
          <w:tcPr>
            <w:tcW w:w="1594" w:type="pct"/>
            <w:vAlign w:val="center"/>
          </w:tcPr>
          <w:p w14:paraId="696D0311">
            <w:pPr>
              <w:jc w:val="center"/>
              <w:rPr>
                <w:rFonts w:hint="eastAsia" w:ascii="仿宋" w:hAnsi="仿宋" w:eastAsia="仿宋"/>
                <w:kern w:val="44"/>
                <w:sz w:val="24"/>
                <w:szCs w:val="24"/>
              </w:rPr>
            </w:pPr>
            <w:r>
              <w:rPr>
                <w:rFonts w:hint="eastAsia" w:ascii="仿宋" w:hAnsi="仿宋" w:eastAsia="仿宋"/>
                <w:kern w:val="44"/>
                <w:sz w:val="24"/>
                <w:szCs w:val="24"/>
              </w:rPr>
              <w:t>规则简单，易于操作</w:t>
            </w:r>
          </w:p>
        </w:tc>
        <w:tc>
          <w:tcPr>
            <w:tcW w:w="2527" w:type="pct"/>
            <w:vAlign w:val="center"/>
          </w:tcPr>
          <w:p w14:paraId="161B8C01">
            <w:pPr>
              <w:jc w:val="center"/>
              <w:rPr>
                <w:rFonts w:hint="eastAsia" w:ascii="仿宋" w:hAnsi="仿宋" w:eastAsia="仿宋"/>
                <w:kern w:val="44"/>
                <w:sz w:val="24"/>
                <w:szCs w:val="24"/>
              </w:rPr>
            </w:pPr>
            <w:r>
              <w:rPr>
                <w:rFonts w:hint="eastAsia" w:ascii="仿宋" w:hAnsi="仿宋" w:eastAsia="仿宋"/>
                <w:kern w:val="44"/>
                <w:sz w:val="24"/>
                <w:szCs w:val="24"/>
              </w:rPr>
              <w:t>结果的准确性依赖专家经验，具有较多的主观性；阈值一旦确定，难以更改，不利于评价体系的动态使用；难以从总分中看到各个评价因素的影响</w:t>
            </w:r>
          </w:p>
        </w:tc>
      </w:tr>
      <w:tr w14:paraId="075D7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79" w:type="pct"/>
            <w:vAlign w:val="center"/>
          </w:tcPr>
          <w:p w14:paraId="7F6C2F5B">
            <w:pPr>
              <w:jc w:val="center"/>
              <w:rPr>
                <w:rFonts w:hint="eastAsia" w:ascii="仿宋" w:hAnsi="仿宋" w:eastAsia="仿宋"/>
                <w:kern w:val="44"/>
                <w:sz w:val="24"/>
                <w:szCs w:val="24"/>
              </w:rPr>
            </w:pPr>
            <w:r>
              <w:rPr>
                <w:rFonts w:hint="eastAsia" w:ascii="仿宋" w:hAnsi="仿宋" w:eastAsia="仿宋"/>
                <w:kern w:val="44"/>
                <w:sz w:val="24"/>
                <w:szCs w:val="24"/>
              </w:rPr>
              <w:t>动态分级法</w:t>
            </w:r>
          </w:p>
        </w:tc>
        <w:tc>
          <w:tcPr>
            <w:tcW w:w="1594" w:type="pct"/>
            <w:vAlign w:val="center"/>
          </w:tcPr>
          <w:p w14:paraId="7461BE80">
            <w:pPr>
              <w:jc w:val="center"/>
              <w:rPr>
                <w:rFonts w:hint="eastAsia" w:ascii="仿宋" w:hAnsi="仿宋" w:eastAsia="仿宋"/>
                <w:kern w:val="44"/>
                <w:sz w:val="24"/>
                <w:szCs w:val="24"/>
              </w:rPr>
            </w:pPr>
            <w:r>
              <w:rPr>
                <w:rFonts w:hint="eastAsia" w:ascii="仿宋" w:hAnsi="仿宋" w:eastAsia="仿宋"/>
                <w:kern w:val="44"/>
                <w:sz w:val="24"/>
                <w:szCs w:val="24"/>
              </w:rPr>
              <w:t>结果可以反映各个评价因素的影响，评价体系具有动态发展特性</w:t>
            </w:r>
          </w:p>
        </w:tc>
        <w:tc>
          <w:tcPr>
            <w:tcW w:w="2527" w:type="pct"/>
            <w:vAlign w:val="center"/>
          </w:tcPr>
          <w:p w14:paraId="64D62BDC">
            <w:pPr>
              <w:jc w:val="center"/>
              <w:rPr>
                <w:rFonts w:hint="eastAsia" w:ascii="仿宋" w:hAnsi="仿宋" w:eastAsia="仿宋"/>
                <w:kern w:val="44"/>
                <w:sz w:val="24"/>
                <w:szCs w:val="24"/>
              </w:rPr>
            </w:pPr>
            <w:r>
              <w:rPr>
                <w:rFonts w:hint="eastAsia" w:ascii="仿宋" w:hAnsi="仿宋" w:eastAsia="仿宋"/>
                <w:kern w:val="44"/>
                <w:sz w:val="24"/>
                <w:szCs w:val="24"/>
              </w:rPr>
              <w:t>规则和操作流程较为复杂</w:t>
            </w:r>
          </w:p>
        </w:tc>
      </w:tr>
    </w:tbl>
    <w:p w14:paraId="6E845F03">
      <w:pPr>
        <w:spacing w:line="560" w:lineRule="exact"/>
        <w:ind w:firstLine="560" w:firstLineChars="200"/>
        <w:rPr>
          <w:rFonts w:hint="eastAsia" w:ascii="仿宋" w:hAnsi="仿宋" w:eastAsia="仿宋"/>
          <w:bCs/>
          <w:sz w:val="28"/>
          <w:szCs w:val="28"/>
        </w:rPr>
      </w:pPr>
      <w:r>
        <w:rPr>
          <w:rFonts w:hint="eastAsia" w:ascii="仿宋" w:hAnsi="仿宋" w:eastAsia="仿宋"/>
          <w:bCs/>
          <w:sz w:val="28"/>
          <w:szCs w:val="28"/>
        </w:rPr>
        <w:t>开展第一层次环境风险源危害性时，针对废渣危害性评价，从废渣类型、堆存规模、废渣性质等三个维度进行评价，其中废渣类型选取废渣属性、废渣生态恢复状况、过水类型等三个指标进行评价，堆存规模选取废渣堆存量、废渣垂直投影占地面积、废渣渗滤液流量等三个指标进行评价，废渣性质选取废渣渗滤液</w:t>
      </w:r>
      <w:r>
        <w:rPr>
          <w:rFonts w:ascii="仿宋" w:hAnsi="仿宋" w:eastAsia="仿宋"/>
          <w:bCs/>
          <w:sz w:val="28"/>
          <w:szCs w:val="28"/>
        </w:rPr>
        <w:t>pH</w:t>
      </w:r>
      <w:r>
        <w:rPr>
          <w:rFonts w:hint="eastAsia" w:ascii="仿宋" w:hAnsi="仿宋" w:eastAsia="仿宋"/>
          <w:bCs/>
          <w:sz w:val="28"/>
          <w:szCs w:val="28"/>
        </w:rPr>
        <w:t>值、渗滤液特征污染物浓度情况等两个指标进行评价。针对废弃矿硐危害性评价，同样也是从矿硐类型、规模和性质三个维度进行评价，其中矿硐类型选取矿硐主要充水因素、矿硐涌水类型等两个指标，规模选取矿硐日涌水量指标，性质选取矿硐涌水</w:t>
      </w:r>
      <w:r>
        <w:rPr>
          <w:rFonts w:ascii="仿宋" w:hAnsi="仿宋" w:eastAsia="仿宋"/>
          <w:bCs/>
          <w:sz w:val="28"/>
          <w:szCs w:val="28"/>
        </w:rPr>
        <w:t>pH</w:t>
      </w:r>
      <w:r>
        <w:rPr>
          <w:rFonts w:hint="eastAsia" w:ascii="仿宋" w:hAnsi="仿宋" w:eastAsia="仿宋"/>
          <w:bCs/>
          <w:sz w:val="28"/>
          <w:szCs w:val="28"/>
        </w:rPr>
        <w:t>值、特征污染物浓度等两个指标。上述指标的选择充分考虑了在陕西汉丹江流域已经开展的评价案例中的指标设计情况，同时将已有案例中不尽合理的指标进行了调整或者删去，既保证每个指标含义不存在理解上的歧义和争议，也保证指标选择的合理性和可操作性。</w:t>
      </w:r>
    </w:p>
    <w:p w14:paraId="3A88F813">
      <w:pPr>
        <w:spacing w:line="560" w:lineRule="exact"/>
        <w:ind w:firstLine="560" w:firstLineChars="200"/>
        <w:rPr>
          <w:rFonts w:hint="eastAsia" w:ascii="仿宋" w:hAnsi="仿宋" w:eastAsia="仿宋"/>
          <w:bCs/>
          <w:sz w:val="28"/>
          <w:szCs w:val="28"/>
        </w:rPr>
      </w:pPr>
      <w:r>
        <w:rPr>
          <w:rFonts w:hint="eastAsia" w:ascii="仿宋" w:hAnsi="仿宋" w:eastAsia="仿宋"/>
          <w:bCs/>
          <w:sz w:val="28"/>
          <w:szCs w:val="28"/>
        </w:rPr>
        <w:t>开展第二层次污染风险单元环境风险评估时，分别从污染物迁移性和风险受体敏感性等维度建立起评价指标体系。污染物迁移性选取</w:t>
      </w:r>
      <w:r>
        <w:rPr>
          <w:rFonts w:ascii="仿宋" w:hAnsi="仿宋" w:eastAsia="仿宋"/>
          <w:bCs/>
          <w:sz w:val="28"/>
          <w:szCs w:val="28"/>
        </w:rPr>
        <w:t>地下水埋深</w:t>
      </w:r>
      <w:r>
        <w:rPr>
          <w:rFonts w:hint="eastAsia" w:ascii="仿宋" w:hAnsi="仿宋" w:eastAsia="仿宋"/>
          <w:bCs/>
          <w:sz w:val="28"/>
          <w:szCs w:val="28"/>
        </w:rPr>
        <w:t>、</w:t>
      </w:r>
      <w:r>
        <w:rPr>
          <w:rFonts w:ascii="仿宋" w:hAnsi="仿宋" w:eastAsia="仿宋"/>
          <w:bCs/>
          <w:sz w:val="28"/>
          <w:szCs w:val="28"/>
        </w:rPr>
        <w:t>包气带</w:t>
      </w:r>
      <w:r>
        <w:rPr>
          <w:rFonts w:hint="eastAsia" w:ascii="仿宋" w:hAnsi="仿宋" w:eastAsia="仿宋"/>
          <w:bCs/>
          <w:sz w:val="28"/>
          <w:szCs w:val="28"/>
        </w:rPr>
        <w:t>渗透系数</w:t>
      </w:r>
      <w:r>
        <w:rPr>
          <w:rFonts w:ascii="仿宋" w:hAnsi="仿宋" w:eastAsia="仿宋"/>
          <w:bCs/>
          <w:sz w:val="28"/>
          <w:szCs w:val="28"/>
        </w:rPr>
        <w:t>（</w:t>
      </w:r>
      <w:r>
        <w:rPr>
          <w:rFonts w:hint="eastAsia" w:ascii="仿宋" w:hAnsi="仿宋" w:eastAsia="仿宋"/>
          <w:bCs/>
          <w:sz w:val="28"/>
          <w:szCs w:val="28"/>
        </w:rPr>
        <w:t>cm/s</w:t>
      </w:r>
      <w:r>
        <w:rPr>
          <w:rFonts w:ascii="仿宋" w:hAnsi="仿宋" w:eastAsia="仿宋"/>
          <w:bCs/>
          <w:sz w:val="28"/>
          <w:szCs w:val="28"/>
        </w:rPr>
        <w:t>）</w:t>
      </w:r>
      <w:r>
        <w:rPr>
          <w:rFonts w:hint="eastAsia" w:ascii="仿宋" w:hAnsi="仿宋" w:eastAsia="仿宋"/>
          <w:bCs/>
          <w:sz w:val="28"/>
          <w:szCs w:val="28"/>
        </w:rPr>
        <w:t>、</w:t>
      </w:r>
      <w:r>
        <w:rPr>
          <w:rFonts w:ascii="仿宋" w:hAnsi="仿宋" w:eastAsia="仿宋"/>
          <w:bCs/>
          <w:sz w:val="28"/>
          <w:szCs w:val="28"/>
        </w:rPr>
        <w:t>含水层渗透系数（m/d）</w:t>
      </w:r>
      <w:r>
        <w:rPr>
          <w:rFonts w:hint="eastAsia" w:ascii="仿宋" w:hAnsi="仿宋" w:eastAsia="仿宋"/>
          <w:bCs/>
          <w:sz w:val="28"/>
          <w:szCs w:val="28"/>
        </w:rPr>
        <w:t>、</w:t>
      </w:r>
      <w:r>
        <w:rPr>
          <w:rFonts w:ascii="仿宋" w:hAnsi="仿宋" w:eastAsia="仿宋"/>
          <w:bCs/>
          <w:sz w:val="28"/>
          <w:szCs w:val="28"/>
        </w:rPr>
        <w:t>地下水污染范围</w:t>
      </w:r>
      <w:r>
        <w:rPr>
          <w:rFonts w:hint="eastAsia" w:ascii="仿宋" w:hAnsi="仿宋" w:eastAsia="仿宋"/>
          <w:bCs/>
          <w:sz w:val="28"/>
          <w:szCs w:val="28"/>
        </w:rPr>
        <w:t>、</w:t>
      </w:r>
      <w:r>
        <w:rPr>
          <w:rFonts w:ascii="仿宋" w:hAnsi="仿宋" w:eastAsia="仿宋"/>
          <w:bCs/>
          <w:sz w:val="28"/>
          <w:szCs w:val="28"/>
        </w:rPr>
        <w:t>地下水污染</w:t>
      </w:r>
      <w:r>
        <w:rPr>
          <w:rFonts w:hint="eastAsia" w:ascii="仿宋" w:hAnsi="仿宋" w:eastAsia="仿宋"/>
          <w:bCs/>
          <w:sz w:val="28"/>
          <w:szCs w:val="28"/>
        </w:rPr>
        <w:t>倍数、“</w:t>
      </w:r>
      <w:r>
        <w:rPr>
          <w:rFonts w:ascii="仿宋" w:hAnsi="仿宋" w:eastAsia="仿宋"/>
          <w:bCs/>
          <w:sz w:val="28"/>
          <w:szCs w:val="28"/>
        </w:rPr>
        <w:t>磺水</w:t>
      </w:r>
      <w:r>
        <w:rPr>
          <w:rFonts w:hint="eastAsia" w:ascii="仿宋" w:hAnsi="仿宋" w:eastAsia="仿宋"/>
          <w:bCs/>
          <w:sz w:val="28"/>
          <w:szCs w:val="28"/>
        </w:rPr>
        <w:t>”</w:t>
      </w:r>
      <w:r>
        <w:rPr>
          <w:rFonts w:ascii="仿宋" w:hAnsi="仿宋" w:eastAsia="仿宋"/>
          <w:bCs/>
          <w:sz w:val="28"/>
          <w:szCs w:val="28"/>
        </w:rPr>
        <w:t>等表观劣质水</w:t>
      </w:r>
      <w:r>
        <w:rPr>
          <w:rFonts w:hint="eastAsia" w:ascii="仿宋" w:hAnsi="仿宋" w:eastAsia="仿宋"/>
          <w:bCs/>
          <w:sz w:val="28"/>
          <w:szCs w:val="28"/>
        </w:rPr>
        <w:t>河段</w:t>
      </w:r>
      <w:r>
        <w:rPr>
          <w:rFonts w:ascii="仿宋" w:hAnsi="仿宋" w:eastAsia="仿宋"/>
          <w:bCs/>
          <w:sz w:val="28"/>
          <w:szCs w:val="28"/>
        </w:rPr>
        <w:t>长度（m）</w:t>
      </w:r>
      <w:r>
        <w:rPr>
          <w:rFonts w:hint="eastAsia" w:ascii="仿宋" w:hAnsi="仿宋" w:eastAsia="仿宋"/>
          <w:bCs/>
          <w:sz w:val="28"/>
          <w:szCs w:val="28"/>
        </w:rPr>
        <w:t>、</w:t>
      </w:r>
      <w:r>
        <w:rPr>
          <w:rFonts w:ascii="仿宋" w:hAnsi="仿宋" w:eastAsia="仿宋"/>
          <w:bCs/>
          <w:sz w:val="28"/>
          <w:szCs w:val="28"/>
        </w:rPr>
        <w:t>地形坡度（°）</w:t>
      </w:r>
      <w:r>
        <w:rPr>
          <w:rFonts w:hint="eastAsia" w:ascii="仿宋" w:hAnsi="仿宋" w:eastAsia="仿宋"/>
          <w:bCs/>
          <w:sz w:val="28"/>
          <w:szCs w:val="28"/>
        </w:rPr>
        <w:t>、</w:t>
      </w:r>
      <w:r>
        <w:rPr>
          <w:rFonts w:ascii="仿宋" w:hAnsi="仿宋" w:eastAsia="仿宋"/>
          <w:bCs/>
          <w:sz w:val="28"/>
          <w:szCs w:val="28"/>
        </w:rPr>
        <w:t>地表水污染</w:t>
      </w:r>
      <w:r>
        <w:rPr>
          <w:rFonts w:hint="eastAsia" w:ascii="仿宋" w:hAnsi="仿宋" w:eastAsia="仿宋"/>
          <w:bCs/>
          <w:sz w:val="28"/>
          <w:szCs w:val="28"/>
        </w:rPr>
        <w:t>倍数等8个指标。环境敏感性选取涉及重要断面、地表水环境功能类别、地下水环境功能类别、涉及饮用水水源及保护区、风险单元内人口数量、风险单元外人口数量、风险单元内耕地累计面积、风险单元外耕地累计面积等8个指标。</w:t>
      </w:r>
    </w:p>
    <w:p w14:paraId="6955EBCD">
      <w:pPr>
        <w:spacing w:line="560" w:lineRule="exact"/>
        <w:ind w:firstLine="560" w:firstLineChars="200"/>
        <w:rPr>
          <w:rFonts w:hint="eastAsia" w:ascii="仿宋" w:hAnsi="仿宋" w:eastAsia="仿宋"/>
          <w:bCs/>
          <w:sz w:val="40"/>
          <w:szCs w:val="40"/>
        </w:rPr>
      </w:pPr>
      <w:r>
        <w:rPr>
          <w:rFonts w:hint="eastAsia" w:ascii="仿宋" w:hAnsi="仿宋" w:eastAsia="仿宋"/>
          <w:sz w:val="28"/>
          <w:szCs w:val="28"/>
        </w:rPr>
        <w:t>根据</w:t>
      </w:r>
      <w:r>
        <w:rPr>
          <w:rFonts w:ascii="仿宋" w:hAnsi="仿宋" w:eastAsia="仿宋"/>
          <w:sz w:val="28"/>
          <w:szCs w:val="28"/>
        </w:rPr>
        <w:t>综合风险源危害性（H）、污染物迁移性（M）、环境敏感性（S）三方面的风险指数，计算</w:t>
      </w:r>
      <w:r>
        <w:rPr>
          <w:rFonts w:hint="eastAsia" w:ascii="仿宋" w:hAnsi="仿宋" w:eastAsia="仿宋"/>
          <w:sz w:val="28"/>
          <w:szCs w:val="28"/>
        </w:rPr>
        <w:t>得出</w:t>
      </w:r>
      <w:r>
        <w:rPr>
          <w:rFonts w:ascii="仿宋" w:hAnsi="仿宋" w:eastAsia="仿宋"/>
          <w:sz w:val="28"/>
          <w:szCs w:val="28"/>
        </w:rPr>
        <w:t>涉金属矿山污染风险单元的风险指数（R）</w:t>
      </w:r>
      <w:r>
        <w:rPr>
          <w:rFonts w:hint="eastAsia" w:ascii="仿宋" w:hAnsi="仿宋" w:eastAsia="仿宋"/>
          <w:sz w:val="28"/>
          <w:szCs w:val="28"/>
        </w:rPr>
        <w:t>，</w:t>
      </w:r>
      <w:r>
        <w:rPr>
          <w:rFonts w:hint="eastAsia" w:ascii="仿宋" w:hAnsi="仿宋" w:eastAsia="仿宋"/>
          <w:bCs/>
          <w:sz w:val="28"/>
          <w:szCs w:val="28"/>
        </w:rPr>
        <w:t>污染风险单元的污染风险等级根据</w:t>
      </w:r>
      <w:r>
        <w:rPr>
          <w:rFonts w:ascii="仿宋" w:hAnsi="仿宋" w:eastAsia="仿宋"/>
          <w:sz w:val="28"/>
          <w:szCs w:val="28"/>
        </w:rPr>
        <w:t>风险指数（R）</w:t>
      </w:r>
      <w:r>
        <w:rPr>
          <w:rFonts w:hint="eastAsia" w:ascii="仿宋" w:hAnsi="仿宋" w:eastAsia="仿宋"/>
          <w:sz w:val="28"/>
          <w:szCs w:val="28"/>
        </w:rPr>
        <w:t>的值</w:t>
      </w:r>
      <w:r>
        <w:rPr>
          <w:rFonts w:hint="eastAsia" w:ascii="仿宋" w:hAnsi="仿宋" w:eastAsia="仿宋"/>
          <w:bCs/>
          <w:sz w:val="28"/>
          <w:szCs w:val="28"/>
        </w:rPr>
        <w:t>划分为高风险（60，100]、中风险（30，60]、低风险（0，30]。【这部分内容不是指标体系构建方面的内容，需要调整位置，同时放入编制说明的话，需要解释30分和60分作为等级划分界限是怎么来的？】</w:t>
      </w:r>
    </w:p>
    <w:p w14:paraId="3976B342">
      <w:pPr>
        <w:pStyle w:val="6"/>
        <w:spacing w:before="0" w:after="0" w:line="240" w:lineRule="auto"/>
        <w:ind w:left="862" w:hanging="862"/>
        <w:rPr>
          <w:rFonts w:hint="eastAsia" w:ascii="华文楷体" w:hAnsi="华文楷体" w:eastAsia="华文楷体"/>
        </w:rPr>
      </w:pPr>
      <w:r>
        <w:rPr>
          <w:rFonts w:hint="eastAsia" w:ascii="华文楷体" w:hAnsi="华文楷体" w:eastAsia="华文楷体"/>
        </w:rPr>
        <w:t>（2）指标权重赋值</w:t>
      </w:r>
    </w:p>
    <w:p w14:paraId="249EC94C">
      <w:pPr>
        <w:spacing w:line="560" w:lineRule="exact"/>
        <w:ind w:firstLine="560" w:firstLineChars="200"/>
        <w:rPr>
          <w:rFonts w:hint="eastAsia" w:ascii="仿宋" w:hAnsi="仿宋" w:eastAsia="仿宋"/>
          <w:bCs/>
          <w:sz w:val="28"/>
          <w:szCs w:val="28"/>
        </w:rPr>
      </w:pPr>
      <w:r>
        <w:rPr>
          <w:rFonts w:hint="eastAsia" w:ascii="仿宋" w:hAnsi="仿宋" w:eastAsia="仿宋"/>
          <w:bCs/>
          <w:sz w:val="28"/>
          <w:szCs w:val="28"/>
        </w:rPr>
        <w:t>1）建立层次结构模型</w:t>
      </w:r>
    </w:p>
    <w:p w14:paraId="0D1E0188">
      <w:pPr>
        <w:spacing w:line="560" w:lineRule="exact"/>
        <w:ind w:firstLine="560" w:firstLineChars="200"/>
        <w:rPr>
          <w:rFonts w:hint="eastAsia" w:ascii="仿宋" w:hAnsi="仿宋" w:eastAsia="仿宋"/>
          <w:bCs/>
          <w:sz w:val="28"/>
          <w:szCs w:val="28"/>
        </w:rPr>
      </w:pPr>
      <w:r>
        <w:rPr>
          <w:rFonts w:hint="eastAsia" w:ascii="仿宋" w:hAnsi="仿宋" w:eastAsia="仿宋"/>
          <w:bCs/>
          <w:sz w:val="28"/>
          <w:szCs w:val="28"/>
        </w:rPr>
        <w:t>根据涉金属矿山风险评估指标体系建立层次结构模型，见图4-1、图4-2。</w:t>
      </w:r>
    </w:p>
    <w:p w14:paraId="191E3883">
      <w:pPr>
        <w:rPr>
          <w:rFonts w:hint="eastAsia" w:ascii="仿宋" w:hAnsi="仿宋" w:eastAsia="仿宋"/>
          <w:bCs/>
          <w:sz w:val="28"/>
          <w:szCs w:val="28"/>
        </w:rPr>
      </w:pPr>
      <w:r>
        <w:rPr>
          <w:rFonts w:ascii="仿宋" w:hAnsi="仿宋" w:eastAsia="仿宋"/>
          <w:bCs/>
          <w:sz w:val="28"/>
          <w:szCs w:val="28"/>
        </w:rPr>
        <w:drawing>
          <wp:inline distT="0" distB="0" distL="0" distR="0">
            <wp:extent cx="5277485" cy="2670175"/>
            <wp:effectExtent l="0" t="0" r="0" b="0"/>
            <wp:docPr id="11973190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319095"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t="3481" b="3175"/>
                    <a:stretch>
                      <a:fillRect/>
                    </a:stretch>
                  </pic:blipFill>
                  <pic:spPr>
                    <a:xfrm>
                      <a:off x="0" y="0"/>
                      <a:ext cx="5278120" cy="2670876"/>
                    </a:xfrm>
                    <a:prstGeom prst="rect">
                      <a:avLst/>
                    </a:prstGeom>
                    <a:noFill/>
                    <a:ln>
                      <a:noFill/>
                    </a:ln>
                  </pic:spPr>
                </pic:pic>
              </a:graphicData>
            </a:graphic>
          </wp:inline>
        </w:drawing>
      </w:r>
    </w:p>
    <w:p w14:paraId="01AA5C36">
      <w:pPr>
        <w:jc w:val="center"/>
        <w:rPr>
          <w:rFonts w:hint="eastAsia" w:ascii="仿宋" w:hAnsi="仿宋" w:eastAsia="仿宋"/>
          <w:bCs/>
          <w:sz w:val="28"/>
          <w:szCs w:val="28"/>
        </w:rPr>
      </w:pPr>
      <w:r>
        <w:rPr>
          <w:rFonts w:hint="eastAsia" w:ascii="黑体" w:hAnsi="黑体" w:eastAsia="黑体"/>
          <w:bCs/>
          <w:sz w:val="24"/>
          <w:szCs w:val="24"/>
        </w:rPr>
        <w:t>图4-2第一层次风险评估指标体系</w:t>
      </w:r>
    </w:p>
    <w:p w14:paraId="06ED2DF2">
      <w:pPr>
        <w:jc w:val="center"/>
        <w:rPr>
          <w:rFonts w:hint="eastAsia" w:ascii="仿宋" w:hAnsi="仿宋" w:eastAsia="仿宋"/>
          <w:bCs/>
          <w:sz w:val="28"/>
          <w:szCs w:val="28"/>
        </w:rPr>
      </w:pPr>
      <w:r>
        <w:rPr>
          <w:rFonts w:ascii="仿宋" w:hAnsi="仿宋" w:eastAsia="仿宋"/>
          <w:bCs/>
          <w:sz w:val="28"/>
          <w:szCs w:val="28"/>
        </w:rPr>
        <w:drawing>
          <wp:inline distT="0" distB="0" distL="0" distR="0">
            <wp:extent cx="5277485" cy="2697480"/>
            <wp:effectExtent l="0" t="0" r="0" b="7620"/>
            <wp:docPr id="11438104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810428" name="图片 2"/>
                    <pic:cNvPicPr>
                      <a:picLocks noChangeAspect="1" noChangeArrowheads="1"/>
                    </pic:cNvPicPr>
                  </pic:nvPicPr>
                  <pic:blipFill>
                    <a:blip r:embed="rId12" cstate="print">
                      <a:extLst>
                        <a:ext uri="{28A0092B-C50C-407E-A947-70E740481C1C}">
                          <a14:useLocalDpi xmlns:a14="http://schemas.microsoft.com/office/drawing/2010/main" val="0"/>
                        </a:ext>
                      </a:extLst>
                    </a:blip>
                    <a:srcRect t="3309" b="2770"/>
                    <a:stretch>
                      <a:fillRect/>
                    </a:stretch>
                  </pic:blipFill>
                  <pic:spPr>
                    <a:xfrm>
                      <a:off x="0" y="0"/>
                      <a:ext cx="5278120" cy="2698115"/>
                    </a:xfrm>
                    <a:prstGeom prst="rect">
                      <a:avLst/>
                    </a:prstGeom>
                    <a:noFill/>
                    <a:ln>
                      <a:noFill/>
                    </a:ln>
                  </pic:spPr>
                </pic:pic>
              </a:graphicData>
            </a:graphic>
          </wp:inline>
        </w:drawing>
      </w:r>
      <w:r>
        <w:rPr>
          <w:rFonts w:hint="eastAsia" w:ascii="黑体" w:hAnsi="黑体" w:eastAsia="黑体"/>
          <w:bCs/>
          <w:sz w:val="24"/>
          <w:szCs w:val="24"/>
        </w:rPr>
        <w:t>图4-2第二层次风险评估指标体系</w:t>
      </w:r>
    </w:p>
    <w:p w14:paraId="15D9B02F">
      <w:pPr>
        <w:ind w:firstLine="560" w:firstLineChars="200"/>
        <w:rPr>
          <w:rFonts w:hint="eastAsia" w:ascii="仿宋" w:hAnsi="仿宋" w:eastAsia="仿宋"/>
          <w:bCs/>
          <w:sz w:val="28"/>
          <w:szCs w:val="28"/>
        </w:rPr>
      </w:pPr>
      <w:r>
        <w:rPr>
          <w:rFonts w:hint="eastAsia" w:ascii="仿宋" w:hAnsi="仿宋" w:eastAsia="仿宋"/>
          <w:bCs/>
          <w:sz w:val="28"/>
          <w:szCs w:val="28"/>
        </w:rPr>
        <w:t>2）构造判断矩阵</w:t>
      </w:r>
    </w:p>
    <w:p w14:paraId="6E996A3E">
      <w:pPr>
        <w:spacing w:line="560" w:lineRule="exact"/>
        <w:ind w:firstLine="560" w:firstLineChars="200"/>
        <w:rPr>
          <w:rFonts w:hint="eastAsia" w:ascii="仿宋" w:hAnsi="仿宋" w:eastAsia="仿宋"/>
          <w:bCs/>
          <w:sz w:val="28"/>
          <w:szCs w:val="28"/>
        </w:rPr>
      </w:pPr>
      <w:r>
        <w:rPr>
          <w:rFonts w:hint="eastAsia" w:ascii="仿宋" w:hAnsi="仿宋" w:eastAsia="仿宋"/>
          <w:bCs/>
          <w:sz w:val="28"/>
          <w:szCs w:val="28"/>
        </w:rPr>
        <w:t>根据建立的指标体系结构模型构造判断矩阵，任取同一层次上两个影响因素对上一层次的相应影响因素的相对重要性进行比较，采用1~9分的九级标度法来量化比较的结果，九级标度法的标度取值定义见表4-3，以污染迁移性准则层各指标相对重要性为例构建的判断矩阵见表4-4。</w:t>
      </w:r>
    </w:p>
    <w:p w14:paraId="657FC60F">
      <w:pPr>
        <w:spacing w:line="560" w:lineRule="exact"/>
        <w:jc w:val="center"/>
        <w:rPr>
          <w:rFonts w:hint="eastAsia" w:ascii="黑体" w:hAnsi="黑体" w:eastAsia="黑体"/>
          <w:bCs/>
          <w:sz w:val="24"/>
          <w:szCs w:val="24"/>
        </w:rPr>
      </w:pPr>
      <w:r>
        <w:rPr>
          <w:rFonts w:hint="eastAsia" w:ascii="黑体" w:hAnsi="黑体" w:eastAsia="黑体"/>
          <w:bCs/>
          <w:sz w:val="24"/>
          <w:szCs w:val="24"/>
        </w:rPr>
        <w:t>表4-3 九级标度法标度定义介绍</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0"/>
        <w:gridCol w:w="6058"/>
      </w:tblGrid>
      <w:tr w14:paraId="728A6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448" w:type="pct"/>
            <w:shd w:val="clear" w:color="auto" w:fill="auto"/>
            <w:vAlign w:val="center"/>
          </w:tcPr>
          <w:p w14:paraId="404CD5B1">
            <w:pPr>
              <w:pStyle w:val="85"/>
              <w:rPr>
                <w:rFonts w:eastAsia="仿宋"/>
                <w:b/>
                <w:bCs/>
              </w:rPr>
            </w:pPr>
            <w:r>
              <w:rPr>
                <w:rFonts w:eastAsia="仿宋"/>
                <w:b/>
                <w:bCs/>
              </w:rPr>
              <w:t>标度</w:t>
            </w:r>
          </w:p>
        </w:tc>
        <w:tc>
          <w:tcPr>
            <w:tcW w:w="3552" w:type="pct"/>
            <w:shd w:val="clear" w:color="auto" w:fill="auto"/>
            <w:vAlign w:val="center"/>
          </w:tcPr>
          <w:p w14:paraId="5EAECA0E">
            <w:pPr>
              <w:pStyle w:val="85"/>
              <w:rPr>
                <w:rFonts w:eastAsia="仿宋"/>
                <w:b/>
                <w:bCs/>
              </w:rPr>
            </w:pPr>
            <w:r>
              <w:rPr>
                <w:rFonts w:eastAsia="仿宋"/>
                <w:b/>
                <w:bCs/>
              </w:rPr>
              <w:t>定义</w:t>
            </w:r>
          </w:p>
        </w:tc>
      </w:tr>
      <w:tr w14:paraId="67F99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448" w:type="pct"/>
            <w:shd w:val="clear" w:color="auto" w:fill="auto"/>
            <w:vAlign w:val="center"/>
          </w:tcPr>
          <w:p w14:paraId="4238FF21">
            <w:pPr>
              <w:pStyle w:val="85"/>
              <w:rPr>
                <w:rFonts w:eastAsia="仿宋"/>
              </w:rPr>
            </w:pPr>
            <w:r>
              <w:rPr>
                <w:rFonts w:eastAsia="仿宋"/>
              </w:rPr>
              <w:t>1~9的倒数</w:t>
            </w:r>
          </w:p>
        </w:tc>
        <w:tc>
          <w:tcPr>
            <w:tcW w:w="3552" w:type="pct"/>
            <w:shd w:val="clear" w:color="auto" w:fill="auto"/>
            <w:vAlign w:val="center"/>
          </w:tcPr>
          <w:p w14:paraId="1FA0696F">
            <w:pPr>
              <w:pStyle w:val="85"/>
              <w:rPr>
                <w:rFonts w:eastAsia="仿宋"/>
              </w:rPr>
            </w:pPr>
            <w:r>
              <w:rPr>
                <w:rFonts w:eastAsia="仿宋"/>
              </w:rPr>
              <w:t>表示因素i与因素j比较的标度值等于因素j与因素i比较的标度值的倒数</w:t>
            </w:r>
          </w:p>
        </w:tc>
      </w:tr>
      <w:tr w14:paraId="46298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448" w:type="pct"/>
            <w:shd w:val="clear" w:color="auto" w:fill="auto"/>
            <w:vAlign w:val="center"/>
          </w:tcPr>
          <w:p w14:paraId="6CFC4D32">
            <w:pPr>
              <w:pStyle w:val="85"/>
              <w:rPr>
                <w:rFonts w:eastAsia="仿宋"/>
              </w:rPr>
            </w:pPr>
            <w:r>
              <w:rPr>
                <w:rFonts w:eastAsia="仿宋"/>
              </w:rPr>
              <w:t>2</w:t>
            </w:r>
            <w:r>
              <w:rPr>
                <w:rFonts w:hint="eastAsia" w:eastAsia="仿宋"/>
              </w:rPr>
              <w:t>，</w:t>
            </w:r>
            <w:r>
              <w:rPr>
                <w:rFonts w:eastAsia="仿宋"/>
              </w:rPr>
              <w:t>4</w:t>
            </w:r>
            <w:r>
              <w:rPr>
                <w:rFonts w:hint="eastAsia" w:eastAsia="仿宋"/>
              </w:rPr>
              <w:t>，</w:t>
            </w:r>
            <w:r>
              <w:rPr>
                <w:rFonts w:eastAsia="仿宋"/>
              </w:rPr>
              <w:t>6</w:t>
            </w:r>
            <w:r>
              <w:rPr>
                <w:rFonts w:hint="eastAsia" w:eastAsia="仿宋"/>
              </w:rPr>
              <w:t>，</w:t>
            </w:r>
            <w:r>
              <w:rPr>
                <w:rFonts w:eastAsia="仿宋"/>
              </w:rPr>
              <w:t>8</w:t>
            </w:r>
          </w:p>
        </w:tc>
        <w:tc>
          <w:tcPr>
            <w:tcW w:w="3552" w:type="pct"/>
            <w:shd w:val="clear" w:color="auto" w:fill="auto"/>
            <w:vAlign w:val="center"/>
          </w:tcPr>
          <w:p w14:paraId="262A7725">
            <w:pPr>
              <w:pStyle w:val="85"/>
              <w:rPr>
                <w:rFonts w:eastAsia="仿宋"/>
              </w:rPr>
            </w:pPr>
            <w:r>
              <w:rPr>
                <w:rFonts w:hint="eastAsia" w:eastAsia="仿宋"/>
              </w:rPr>
              <w:t>上</w:t>
            </w:r>
            <w:r>
              <w:rPr>
                <w:rFonts w:eastAsia="仿宋"/>
              </w:rPr>
              <w:t>述两相邻判断的中间值</w:t>
            </w:r>
          </w:p>
        </w:tc>
      </w:tr>
      <w:tr w14:paraId="35E40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448" w:type="pct"/>
            <w:shd w:val="clear" w:color="auto" w:fill="auto"/>
            <w:vAlign w:val="center"/>
          </w:tcPr>
          <w:p w14:paraId="419B6E02">
            <w:pPr>
              <w:pStyle w:val="85"/>
              <w:rPr>
                <w:rFonts w:eastAsia="仿宋"/>
              </w:rPr>
            </w:pPr>
            <w:r>
              <w:rPr>
                <w:rFonts w:eastAsia="仿宋"/>
              </w:rPr>
              <w:t>9</w:t>
            </w:r>
          </w:p>
        </w:tc>
        <w:tc>
          <w:tcPr>
            <w:tcW w:w="3552" w:type="pct"/>
            <w:shd w:val="clear" w:color="auto" w:fill="auto"/>
            <w:vAlign w:val="center"/>
          </w:tcPr>
          <w:p w14:paraId="02D80FD5">
            <w:pPr>
              <w:pStyle w:val="85"/>
              <w:rPr>
                <w:rFonts w:eastAsia="仿宋"/>
              </w:rPr>
            </w:pPr>
            <w:r>
              <w:rPr>
                <w:rFonts w:eastAsia="仿宋"/>
              </w:rPr>
              <w:t>因素i与j绝对重要</w:t>
            </w:r>
          </w:p>
        </w:tc>
      </w:tr>
      <w:tr w14:paraId="75856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448" w:type="pct"/>
            <w:shd w:val="clear" w:color="auto" w:fill="auto"/>
            <w:vAlign w:val="center"/>
          </w:tcPr>
          <w:p w14:paraId="0906B651">
            <w:pPr>
              <w:pStyle w:val="85"/>
              <w:rPr>
                <w:rFonts w:eastAsia="仿宋"/>
              </w:rPr>
            </w:pPr>
            <w:r>
              <w:rPr>
                <w:rFonts w:eastAsia="仿宋"/>
              </w:rPr>
              <w:t>7</w:t>
            </w:r>
          </w:p>
        </w:tc>
        <w:tc>
          <w:tcPr>
            <w:tcW w:w="3552" w:type="pct"/>
            <w:shd w:val="clear" w:color="auto" w:fill="auto"/>
            <w:vAlign w:val="center"/>
          </w:tcPr>
          <w:p w14:paraId="618CE6F7">
            <w:pPr>
              <w:pStyle w:val="85"/>
              <w:rPr>
                <w:rFonts w:eastAsia="仿宋"/>
              </w:rPr>
            </w:pPr>
            <w:r>
              <w:rPr>
                <w:rFonts w:eastAsia="仿宋"/>
              </w:rPr>
              <w:t>因素i与j强烈重要</w:t>
            </w:r>
          </w:p>
        </w:tc>
      </w:tr>
      <w:tr w14:paraId="627795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448" w:type="pct"/>
            <w:shd w:val="clear" w:color="auto" w:fill="auto"/>
            <w:vAlign w:val="center"/>
          </w:tcPr>
          <w:p w14:paraId="1A7F7196">
            <w:pPr>
              <w:pStyle w:val="85"/>
              <w:rPr>
                <w:rFonts w:eastAsia="仿宋"/>
              </w:rPr>
            </w:pPr>
            <w:r>
              <w:rPr>
                <w:rFonts w:eastAsia="仿宋"/>
              </w:rPr>
              <w:t>5</w:t>
            </w:r>
          </w:p>
        </w:tc>
        <w:tc>
          <w:tcPr>
            <w:tcW w:w="3552" w:type="pct"/>
            <w:shd w:val="clear" w:color="auto" w:fill="auto"/>
            <w:vAlign w:val="center"/>
          </w:tcPr>
          <w:p w14:paraId="26353679">
            <w:pPr>
              <w:pStyle w:val="85"/>
              <w:rPr>
                <w:rFonts w:eastAsia="仿宋"/>
              </w:rPr>
            </w:pPr>
            <w:r>
              <w:rPr>
                <w:rFonts w:eastAsia="仿宋"/>
              </w:rPr>
              <w:t>因素i与j较强重要</w:t>
            </w:r>
          </w:p>
        </w:tc>
      </w:tr>
      <w:tr w14:paraId="49D0C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448" w:type="pct"/>
            <w:shd w:val="clear" w:color="auto" w:fill="auto"/>
            <w:vAlign w:val="center"/>
          </w:tcPr>
          <w:p w14:paraId="20B02028">
            <w:pPr>
              <w:pStyle w:val="85"/>
              <w:rPr>
                <w:rFonts w:eastAsia="仿宋"/>
              </w:rPr>
            </w:pPr>
            <w:r>
              <w:rPr>
                <w:rFonts w:eastAsia="仿宋"/>
              </w:rPr>
              <w:t>3</w:t>
            </w:r>
          </w:p>
        </w:tc>
        <w:tc>
          <w:tcPr>
            <w:tcW w:w="3552" w:type="pct"/>
            <w:shd w:val="clear" w:color="auto" w:fill="auto"/>
            <w:vAlign w:val="center"/>
          </w:tcPr>
          <w:p w14:paraId="1FCE5648">
            <w:pPr>
              <w:pStyle w:val="85"/>
              <w:rPr>
                <w:rFonts w:eastAsia="仿宋"/>
              </w:rPr>
            </w:pPr>
            <w:r>
              <w:rPr>
                <w:rFonts w:eastAsia="仿宋"/>
              </w:rPr>
              <w:t>因素i与j稍微重要</w:t>
            </w:r>
          </w:p>
        </w:tc>
      </w:tr>
      <w:tr w14:paraId="05D40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448" w:type="pct"/>
            <w:shd w:val="clear" w:color="auto" w:fill="auto"/>
            <w:vAlign w:val="center"/>
          </w:tcPr>
          <w:p w14:paraId="6889FE36">
            <w:pPr>
              <w:pStyle w:val="85"/>
              <w:rPr>
                <w:rFonts w:eastAsia="仿宋"/>
              </w:rPr>
            </w:pPr>
            <w:r>
              <w:rPr>
                <w:rFonts w:eastAsia="仿宋"/>
              </w:rPr>
              <w:t>1</w:t>
            </w:r>
          </w:p>
        </w:tc>
        <w:tc>
          <w:tcPr>
            <w:tcW w:w="3552" w:type="pct"/>
            <w:shd w:val="clear" w:color="auto" w:fill="auto"/>
            <w:vAlign w:val="center"/>
          </w:tcPr>
          <w:p w14:paraId="10EA4133">
            <w:pPr>
              <w:pStyle w:val="85"/>
              <w:rPr>
                <w:rFonts w:eastAsia="仿宋"/>
              </w:rPr>
            </w:pPr>
            <w:r>
              <w:rPr>
                <w:rFonts w:eastAsia="仿宋"/>
              </w:rPr>
              <w:t>因素i与j同样重要</w:t>
            </w:r>
          </w:p>
        </w:tc>
      </w:tr>
    </w:tbl>
    <w:p w14:paraId="3C9BCE79">
      <w:pPr>
        <w:spacing w:line="560" w:lineRule="exact"/>
        <w:jc w:val="center"/>
        <w:rPr>
          <w:rFonts w:hint="eastAsia" w:ascii="黑体" w:hAnsi="黑体" w:eastAsia="黑体"/>
          <w:bCs/>
          <w:sz w:val="24"/>
          <w:szCs w:val="24"/>
        </w:rPr>
      </w:pPr>
      <w:r>
        <w:rPr>
          <w:rFonts w:hint="eastAsia" w:ascii="黑体" w:hAnsi="黑体" w:eastAsia="黑体"/>
          <w:bCs/>
          <w:sz w:val="24"/>
          <w:szCs w:val="24"/>
        </w:rPr>
        <w:t>表4-4污染迁移性准则层各指标相对重要性判断矩阵</w:t>
      </w:r>
    </w:p>
    <w:tbl>
      <w:tblPr>
        <w:tblStyle w:val="31"/>
        <w:tblW w:w="8220" w:type="dxa"/>
        <w:tblInd w:w="0" w:type="dxa"/>
        <w:tblLayout w:type="autofit"/>
        <w:tblCellMar>
          <w:top w:w="0" w:type="dxa"/>
          <w:left w:w="108" w:type="dxa"/>
          <w:bottom w:w="0" w:type="dxa"/>
          <w:right w:w="108" w:type="dxa"/>
        </w:tblCellMar>
      </w:tblPr>
      <w:tblGrid>
        <w:gridCol w:w="1704"/>
        <w:gridCol w:w="1635"/>
        <w:gridCol w:w="1867"/>
        <w:gridCol w:w="1601"/>
        <w:gridCol w:w="1413"/>
      </w:tblGrid>
      <w:tr w14:paraId="26E879C6">
        <w:tblPrEx>
          <w:tblCellMar>
            <w:top w:w="0" w:type="dxa"/>
            <w:left w:w="108" w:type="dxa"/>
            <w:bottom w:w="0" w:type="dxa"/>
            <w:right w:w="108" w:type="dxa"/>
          </w:tblCellMar>
        </w:tblPrEx>
        <w:trPr>
          <w:trHeight w:val="566" w:hRule="atLeast"/>
        </w:trPr>
        <w:tc>
          <w:tcPr>
            <w:tcW w:w="1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C3008">
            <w:pPr>
              <w:widowControl/>
              <w:jc w:val="center"/>
              <w:rPr>
                <w:rFonts w:hint="eastAsia" w:ascii="仿宋" w:hAnsi="仿宋" w:eastAsia="仿宋" w:cs="宋体"/>
                <w:b/>
                <w:bCs/>
                <w:kern w:val="0"/>
                <w:sz w:val="22"/>
              </w:rPr>
            </w:pPr>
            <w:r>
              <w:rPr>
                <w:rFonts w:hint="eastAsia" w:ascii="仿宋" w:hAnsi="仿宋" w:eastAsia="仿宋" w:cs="宋体"/>
                <w:b/>
                <w:bCs/>
                <w:kern w:val="0"/>
                <w:sz w:val="22"/>
              </w:rPr>
              <w:t>废渣</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B813F">
            <w:pPr>
              <w:widowControl/>
              <w:jc w:val="center"/>
              <w:rPr>
                <w:rFonts w:hint="eastAsia" w:ascii="仿宋" w:hAnsi="仿宋" w:eastAsia="仿宋" w:cs="宋体"/>
                <w:b/>
                <w:bCs/>
                <w:kern w:val="0"/>
                <w:sz w:val="22"/>
              </w:rPr>
            </w:pPr>
            <w:r>
              <w:rPr>
                <w:rFonts w:hint="eastAsia" w:ascii="仿宋" w:hAnsi="仿宋" w:eastAsia="仿宋" w:cs="宋体"/>
                <w:b/>
                <w:bCs/>
                <w:kern w:val="0"/>
                <w:sz w:val="22"/>
              </w:rPr>
              <w:t>地下水脆弱性</w:t>
            </w:r>
          </w:p>
        </w:tc>
        <w:tc>
          <w:tcPr>
            <w:tcW w:w="18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9F54E">
            <w:pPr>
              <w:widowControl/>
              <w:jc w:val="center"/>
              <w:rPr>
                <w:rFonts w:hint="eastAsia" w:ascii="仿宋" w:hAnsi="仿宋" w:eastAsia="仿宋" w:cs="宋体"/>
                <w:b/>
                <w:bCs/>
                <w:kern w:val="0"/>
                <w:sz w:val="22"/>
              </w:rPr>
            </w:pPr>
            <w:r>
              <w:rPr>
                <w:rFonts w:hint="eastAsia" w:ascii="仿宋" w:hAnsi="仿宋" w:eastAsia="仿宋" w:cs="宋体"/>
                <w:b/>
                <w:bCs/>
                <w:kern w:val="0"/>
                <w:sz w:val="22"/>
              </w:rPr>
              <w:t>地下水污染物迁移性</w:t>
            </w:r>
          </w:p>
        </w:tc>
        <w:tc>
          <w:tcPr>
            <w:tcW w:w="16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45348">
            <w:pPr>
              <w:widowControl/>
              <w:jc w:val="center"/>
              <w:rPr>
                <w:rFonts w:hint="eastAsia" w:ascii="仿宋" w:hAnsi="仿宋" w:eastAsia="仿宋" w:cs="宋体"/>
                <w:b/>
                <w:bCs/>
                <w:kern w:val="0"/>
                <w:sz w:val="22"/>
              </w:rPr>
            </w:pPr>
            <w:r>
              <w:rPr>
                <w:rFonts w:hint="eastAsia" w:ascii="仿宋" w:hAnsi="仿宋" w:eastAsia="仿宋" w:cs="宋体"/>
                <w:b/>
                <w:bCs/>
                <w:kern w:val="0"/>
                <w:sz w:val="22"/>
              </w:rPr>
              <w:t>地表水表观污染</w:t>
            </w:r>
          </w:p>
        </w:tc>
        <w:tc>
          <w:tcPr>
            <w:tcW w:w="1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BAF80">
            <w:pPr>
              <w:widowControl/>
              <w:jc w:val="center"/>
              <w:rPr>
                <w:rFonts w:hint="eastAsia" w:ascii="仿宋" w:hAnsi="仿宋" w:eastAsia="仿宋" w:cs="宋体"/>
                <w:b/>
                <w:bCs/>
                <w:kern w:val="0"/>
                <w:sz w:val="22"/>
              </w:rPr>
            </w:pPr>
            <w:r>
              <w:rPr>
                <w:rFonts w:hint="eastAsia" w:ascii="仿宋" w:hAnsi="仿宋" w:eastAsia="仿宋" w:cs="宋体"/>
                <w:b/>
                <w:bCs/>
                <w:kern w:val="0"/>
                <w:sz w:val="22"/>
              </w:rPr>
              <w:t>地表水污染物迁移性</w:t>
            </w:r>
          </w:p>
        </w:tc>
      </w:tr>
      <w:tr w14:paraId="1AA39E8C">
        <w:tblPrEx>
          <w:tblCellMar>
            <w:top w:w="0" w:type="dxa"/>
            <w:left w:w="108" w:type="dxa"/>
            <w:bottom w:w="0" w:type="dxa"/>
            <w:right w:w="108" w:type="dxa"/>
          </w:tblCellMar>
        </w:tblPrEx>
        <w:trPr>
          <w:trHeight w:val="283" w:hRule="atLeast"/>
        </w:trPr>
        <w:tc>
          <w:tcPr>
            <w:tcW w:w="1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46437">
            <w:pPr>
              <w:widowControl/>
              <w:jc w:val="center"/>
              <w:rPr>
                <w:rFonts w:hint="eastAsia" w:ascii="仿宋" w:hAnsi="仿宋" w:eastAsia="仿宋" w:cs="宋体"/>
                <w:b/>
                <w:bCs/>
                <w:kern w:val="0"/>
                <w:sz w:val="22"/>
              </w:rPr>
            </w:pPr>
            <w:r>
              <w:rPr>
                <w:rFonts w:hint="eastAsia" w:ascii="仿宋" w:hAnsi="仿宋" w:eastAsia="仿宋" w:cs="宋体"/>
                <w:b/>
                <w:bCs/>
                <w:kern w:val="0"/>
                <w:sz w:val="22"/>
              </w:rPr>
              <w:t>地下水脆弱性</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5702A">
            <w:pPr>
              <w:widowControl/>
              <w:jc w:val="center"/>
              <w:rPr>
                <w:rFonts w:hint="eastAsia" w:ascii="仿宋" w:hAnsi="仿宋" w:eastAsia="仿宋" w:cs="宋体"/>
                <w:kern w:val="0"/>
                <w:sz w:val="22"/>
              </w:rPr>
            </w:pPr>
            <w:r>
              <w:rPr>
                <w:rFonts w:hint="eastAsia" w:ascii="仿宋" w:hAnsi="仿宋" w:eastAsia="仿宋" w:cs="宋体"/>
                <w:kern w:val="0"/>
                <w:sz w:val="22"/>
              </w:rPr>
              <w:t xml:space="preserve">1    </w:t>
            </w:r>
          </w:p>
        </w:tc>
        <w:tc>
          <w:tcPr>
            <w:tcW w:w="18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CE176">
            <w:pPr>
              <w:widowControl/>
              <w:jc w:val="center"/>
              <w:rPr>
                <w:rFonts w:hint="eastAsia" w:ascii="仿宋" w:hAnsi="仿宋" w:eastAsia="仿宋" w:cs="宋体"/>
                <w:kern w:val="0"/>
                <w:sz w:val="22"/>
              </w:rPr>
            </w:pPr>
          </w:p>
        </w:tc>
        <w:tc>
          <w:tcPr>
            <w:tcW w:w="16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23C6B">
            <w:pPr>
              <w:widowControl/>
              <w:jc w:val="center"/>
              <w:rPr>
                <w:rFonts w:hint="eastAsia" w:ascii="仿宋" w:hAnsi="仿宋" w:eastAsia="仿宋"/>
                <w:kern w:val="0"/>
                <w:sz w:val="20"/>
                <w:szCs w:val="20"/>
              </w:rPr>
            </w:pPr>
          </w:p>
        </w:tc>
        <w:tc>
          <w:tcPr>
            <w:tcW w:w="1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49277">
            <w:pPr>
              <w:widowControl/>
              <w:jc w:val="center"/>
              <w:rPr>
                <w:rFonts w:hint="eastAsia" w:ascii="仿宋" w:hAnsi="仿宋" w:eastAsia="仿宋"/>
                <w:kern w:val="0"/>
                <w:sz w:val="20"/>
                <w:szCs w:val="20"/>
              </w:rPr>
            </w:pPr>
          </w:p>
        </w:tc>
      </w:tr>
      <w:tr w14:paraId="17D70454">
        <w:tblPrEx>
          <w:tblCellMar>
            <w:top w:w="0" w:type="dxa"/>
            <w:left w:w="108" w:type="dxa"/>
            <w:bottom w:w="0" w:type="dxa"/>
            <w:right w:w="108" w:type="dxa"/>
          </w:tblCellMar>
        </w:tblPrEx>
        <w:trPr>
          <w:trHeight w:val="566" w:hRule="atLeast"/>
        </w:trPr>
        <w:tc>
          <w:tcPr>
            <w:tcW w:w="1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626FF">
            <w:pPr>
              <w:widowControl/>
              <w:jc w:val="center"/>
              <w:rPr>
                <w:rFonts w:hint="eastAsia" w:ascii="仿宋" w:hAnsi="仿宋" w:eastAsia="仿宋" w:cs="宋体"/>
                <w:b/>
                <w:bCs/>
                <w:kern w:val="0"/>
                <w:sz w:val="22"/>
              </w:rPr>
            </w:pPr>
            <w:r>
              <w:rPr>
                <w:rFonts w:hint="eastAsia" w:ascii="仿宋" w:hAnsi="仿宋" w:eastAsia="仿宋" w:cs="宋体"/>
                <w:b/>
                <w:bCs/>
                <w:kern w:val="0"/>
                <w:sz w:val="22"/>
              </w:rPr>
              <w:t>地下水污染物迁移性</w:t>
            </w:r>
          </w:p>
        </w:tc>
        <w:tc>
          <w:tcPr>
            <w:tcW w:w="1635" w:type="dxa"/>
            <w:tcBorders>
              <w:top w:val="single" w:color="000000" w:sz="4" w:space="0"/>
              <w:left w:val="single" w:color="000000" w:sz="4" w:space="0"/>
              <w:bottom w:val="single" w:color="000000" w:sz="4" w:space="0"/>
              <w:right w:val="single" w:color="000000" w:sz="4" w:space="0"/>
            </w:tcBorders>
            <w:shd w:val="clear" w:color="auto" w:fill="BAE3BF" w:themeFill="background1" w:themeFillShade="F2"/>
            <w:vAlign w:val="center"/>
          </w:tcPr>
          <w:p w14:paraId="1112B8B7">
            <w:pPr>
              <w:widowControl/>
              <w:jc w:val="center"/>
              <w:rPr>
                <w:rFonts w:hint="eastAsia" w:ascii="仿宋" w:hAnsi="仿宋" w:eastAsia="仿宋" w:cs="宋体"/>
                <w:kern w:val="0"/>
                <w:sz w:val="22"/>
              </w:rPr>
            </w:pPr>
          </w:p>
        </w:tc>
        <w:tc>
          <w:tcPr>
            <w:tcW w:w="18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5012D">
            <w:pPr>
              <w:widowControl/>
              <w:jc w:val="center"/>
              <w:rPr>
                <w:rFonts w:hint="eastAsia" w:ascii="仿宋" w:hAnsi="仿宋" w:eastAsia="仿宋" w:cs="宋体"/>
                <w:kern w:val="0"/>
                <w:sz w:val="22"/>
              </w:rPr>
            </w:pPr>
            <w:r>
              <w:rPr>
                <w:rFonts w:hint="eastAsia" w:ascii="仿宋" w:hAnsi="仿宋" w:eastAsia="仿宋" w:cs="宋体"/>
                <w:kern w:val="0"/>
                <w:sz w:val="22"/>
              </w:rPr>
              <w:t xml:space="preserve">1    </w:t>
            </w:r>
          </w:p>
        </w:tc>
        <w:tc>
          <w:tcPr>
            <w:tcW w:w="16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AD3C4">
            <w:pPr>
              <w:widowControl/>
              <w:jc w:val="center"/>
              <w:rPr>
                <w:rFonts w:hint="eastAsia" w:ascii="仿宋" w:hAnsi="仿宋" w:eastAsia="仿宋" w:cs="宋体"/>
                <w:kern w:val="0"/>
                <w:sz w:val="22"/>
              </w:rPr>
            </w:pPr>
          </w:p>
        </w:tc>
        <w:tc>
          <w:tcPr>
            <w:tcW w:w="1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AFDCB">
            <w:pPr>
              <w:widowControl/>
              <w:jc w:val="center"/>
              <w:rPr>
                <w:rFonts w:hint="eastAsia" w:ascii="仿宋" w:hAnsi="仿宋" w:eastAsia="仿宋"/>
                <w:kern w:val="0"/>
                <w:sz w:val="20"/>
                <w:szCs w:val="20"/>
              </w:rPr>
            </w:pPr>
          </w:p>
        </w:tc>
      </w:tr>
      <w:tr w14:paraId="5AC96423">
        <w:tblPrEx>
          <w:tblCellMar>
            <w:top w:w="0" w:type="dxa"/>
            <w:left w:w="108" w:type="dxa"/>
            <w:bottom w:w="0" w:type="dxa"/>
            <w:right w:w="108" w:type="dxa"/>
          </w:tblCellMar>
        </w:tblPrEx>
        <w:trPr>
          <w:trHeight w:val="283" w:hRule="atLeast"/>
        </w:trPr>
        <w:tc>
          <w:tcPr>
            <w:tcW w:w="1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DCB1C">
            <w:pPr>
              <w:widowControl/>
              <w:jc w:val="center"/>
              <w:rPr>
                <w:rFonts w:hint="eastAsia" w:ascii="仿宋" w:hAnsi="仿宋" w:eastAsia="仿宋" w:cs="宋体"/>
                <w:b/>
                <w:bCs/>
                <w:kern w:val="0"/>
                <w:sz w:val="22"/>
              </w:rPr>
            </w:pPr>
            <w:r>
              <w:rPr>
                <w:rFonts w:hint="eastAsia" w:ascii="仿宋" w:hAnsi="仿宋" w:eastAsia="仿宋" w:cs="宋体"/>
                <w:b/>
                <w:bCs/>
                <w:kern w:val="0"/>
                <w:sz w:val="22"/>
              </w:rPr>
              <w:t>地表水表观污染</w:t>
            </w:r>
          </w:p>
        </w:tc>
        <w:tc>
          <w:tcPr>
            <w:tcW w:w="1635" w:type="dxa"/>
            <w:tcBorders>
              <w:top w:val="single" w:color="000000" w:sz="4" w:space="0"/>
              <w:left w:val="single" w:color="000000" w:sz="4" w:space="0"/>
              <w:bottom w:val="single" w:color="000000" w:sz="4" w:space="0"/>
              <w:right w:val="single" w:color="000000" w:sz="4" w:space="0"/>
            </w:tcBorders>
            <w:shd w:val="clear" w:color="auto" w:fill="BAE3BF" w:themeFill="background1" w:themeFillShade="F2"/>
            <w:vAlign w:val="center"/>
          </w:tcPr>
          <w:p w14:paraId="27F5AB51">
            <w:pPr>
              <w:widowControl/>
              <w:jc w:val="center"/>
              <w:rPr>
                <w:rFonts w:hint="eastAsia" w:ascii="仿宋" w:hAnsi="仿宋" w:eastAsia="仿宋" w:cs="宋体"/>
                <w:kern w:val="0"/>
                <w:sz w:val="22"/>
              </w:rPr>
            </w:pPr>
          </w:p>
        </w:tc>
        <w:tc>
          <w:tcPr>
            <w:tcW w:w="1867" w:type="dxa"/>
            <w:tcBorders>
              <w:top w:val="single" w:color="000000" w:sz="4" w:space="0"/>
              <w:left w:val="single" w:color="000000" w:sz="4" w:space="0"/>
              <w:bottom w:val="single" w:color="000000" w:sz="4" w:space="0"/>
              <w:right w:val="single" w:color="000000" w:sz="4" w:space="0"/>
            </w:tcBorders>
            <w:shd w:val="clear" w:color="auto" w:fill="BAE3BF" w:themeFill="background1" w:themeFillShade="F2"/>
            <w:vAlign w:val="center"/>
          </w:tcPr>
          <w:p w14:paraId="16BA1A78">
            <w:pPr>
              <w:widowControl/>
              <w:jc w:val="center"/>
              <w:rPr>
                <w:rFonts w:hint="eastAsia" w:ascii="仿宋" w:hAnsi="仿宋" w:eastAsia="仿宋" w:cs="宋体"/>
                <w:kern w:val="0"/>
                <w:sz w:val="22"/>
              </w:rPr>
            </w:pPr>
          </w:p>
        </w:tc>
        <w:tc>
          <w:tcPr>
            <w:tcW w:w="16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6317A">
            <w:pPr>
              <w:widowControl/>
              <w:jc w:val="center"/>
              <w:rPr>
                <w:rFonts w:hint="eastAsia" w:ascii="仿宋" w:hAnsi="仿宋" w:eastAsia="仿宋" w:cs="宋体"/>
                <w:kern w:val="0"/>
                <w:sz w:val="22"/>
              </w:rPr>
            </w:pPr>
            <w:r>
              <w:rPr>
                <w:rFonts w:hint="eastAsia" w:ascii="仿宋" w:hAnsi="仿宋" w:eastAsia="仿宋" w:cs="宋体"/>
                <w:kern w:val="0"/>
                <w:sz w:val="22"/>
              </w:rPr>
              <w:t xml:space="preserve">1    </w:t>
            </w:r>
          </w:p>
        </w:tc>
        <w:tc>
          <w:tcPr>
            <w:tcW w:w="1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504E4">
            <w:pPr>
              <w:widowControl/>
              <w:jc w:val="center"/>
              <w:rPr>
                <w:rFonts w:hint="eastAsia" w:ascii="仿宋" w:hAnsi="仿宋" w:eastAsia="仿宋" w:cs="宋体"/>
                <w:kern w:val="0"/>
                <w:sz w:val="22"/>
              </w:rPr>
            </w:pPr>
          </w:p>
        </w:tc>
      </w:tr>
      <w:tr w14:paraId="777E2691">
        <w:tblPrEx>
          <w:tblCellMar>
            <w:top w:w="0" w:type="dxa"/>
            <w:left w:w="108" w:type="dxa"/>
            <w:bottom w:w="0" w:type="dxa"/>
            <w:right w:w="108" w:type="dxa"/>
          </w:tblCellMar>
        </w:tblPrEx>
        <w:trPr>
          <w:trHeight w:val="566" w:hRule="atLeast"/>
        </w:trPr>
        <w:tc>
          <w:tcPr>
            <w:tcW w:w="1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36D3A">
            <w:pPr>
              <w:widowControl/>
              <w:jc w:val="center"/>
              <w:rPr>
                <w:rFonts w:hint="eastAsia" w:ascii="仿宋" w:hAnsi="仿宋" w:eastAsia="仿宋" w:cs="宋体"/>
                <w:b/>
                <w:bCs/>
                <w:kern w:val="0"/>
                <w:sz w:val="22"/>
              </w:rPr>
            </w:pPr>
            <w:r>
              <w:rPr>
                <w:rFonts w:hint="eastAsia" w:ascii="仿宋" w:hAnsi="仿宋" w:eastAsia="仿宋" w:cs="宋体"/>
                <w:b/>
                <w:bCs/>
                <w:kern w:val="0"/>
                <w:sz w:val="22"/>
              </w:rPr>
              <w:t>地表水污染物迁移性</w:t>
            </w:r>
          </w:p>
        </w:tc>
        <w:tc>
          <w:tcPr>
            <w:tcW w:w="1635" w:type="dxa"/>
            <w:tcBorders>
              <w:top w:val="single" w:color="000000" w:sz="4" w:space="0"/>
              <w:left w:val="single" w:color="000000" w:sz="4" w:space="0"/>
              <w:bottom w:val="single" w:color="000000" w:sz="4" w:space="0"/>
              <w:right w:val="single" w:color="000000" w:sz="4" w:space="0"/>
            </w:tcBorders>
            <w:shd w:val="clear" w:color="auto" w:fill="BAE3BF" w:themeFill="background1" w:themeFillShade="F2"/>
            <w:noWrap/>
            <w:vAlign w:val="center"/>
          </w:tcPr>
          <w:p w14:paraId="33523418">
            <w:pPr>
              <w:widowControl/>
              <w:jc w:val="center"/>
              <w:rPr>
                <w:rFonts w:hint="eastAsia" w:ascii="仿宋" w:hAnsi="仿宋" w:eastAsia="仿宋" w:cs="宋体"/>
                <w:kern w:val="0"/>
                <w:sz w:val="22"/>
              </w:rPr>
            </w:pPr>
          </w:p>
        </w:tc>
        <w:tc>
          <w:tcPr>
            <w:tcW w:w="1867" w:type="dxa"/>
            <w:tcBorders>
              <w:top w:val="single" w:color="000000" w:sz="4" w:space="0"/>
              <w:left w:val="single" w:color="000000" w:sz="4" w:space="0"/>
              <w:bottom w:val="single" w:color="000000" w:sz="4" w:space="0"/>
              <w:right w:val="single" w:color="000000" w:sz="4" w:space="0"/>
            </w:tcBorders>
            <w:shd w:val="clear" w:color="auto" w:fill="BAE3BF" w:themeFill="background1" w:themeFillShade="F2"/>
            <w:noWrap/>
            <w:vAlign w:val="center"/>
          </w:tcPr>
          <w:p w14:paraId="73A55774">
            <w:pPr>
              <w:widowControl/>
              <w:jc w:val="center"/>
              <w:rPr>
                <w:rFonts w:hint="eastAsia" w:ascii="仿宋" w:hAnsi="仿宋" w:eastAsia="仿宋" w:cs="宋体"/>
                <w:kern w:val="0"/>
                <w:sz w:val="22"/>
              </w:rPr>
            </w:pPr>
          </w:p>
        </w:tc>
        <w:tc>
          <w:tcPr>
            <w:tcW w:w="1601" w:type="dxa"/>
            <w:tcBorders>
              <w:top w:val="single" w:color="000000" w:sz="4" w:space="0"/>
              <w:left w:val="single" w:color="000000" w:sz="4" w:space="0"/>
              <w:bottom w:val="single" w:color="000000" w:sz="4" w:space="0"/>
              <w:right w:val="single" w:color="000000" w:sz="4" w:space="0"/>
            </w:tcBorders>
            <w:shd w:val="clear" w:color="auto" w:fill="BAE3BF" w:themeFill="background1" w:themeFillShade="F2"/>
            <w:noWrap/>
            <w:vAlign w:val="center"/>
          </w:tcPr>
          <w:p w14:paraId="2918FC12">
            <w:pPr>
              <w:widowControl/>
              <w:jc w:val="center"/>
              <w:rPr>
                <w:rFonts w:hint="eastAsia" w:ascii="仿宋" w:hAnsi="仿宋" w:eastAsia="仿宋" w:cs="宋体"/>
                <w:kern w:val="0"/>
                <w:sz w:val="22"/>
              </w:rPr>
            </w:pPr>
          </w:p>
        </w:tc>
        <w:tc>
          <w:tcPr>
            <w:tcW w:w="1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B0CFD">
            <w:pPr>
              <w:widowControl/>
              <w:jc w:val="center"/>
              <w:rPr>
                <w:rFonts w:hint="eastAsia" w:ascii="仿宋" w:hAnsi="仿宋" w:eastAsia="仿宋" w:cs="宋体"/>
                <w:kern w:val="0"/>
                <w:sz w:val="22"/>
              </w:rPr>
            </w:pPr>
            <w:r>
              <w:rPr>
                <w:rFonts w:hint="eastAsia" w:ascii="仿宋" w:hAnsi="仿宋" w:eastAsia="仿宋" w:cs="宋体"/>
                <w:kern w:val="0"/>
                <w:sz w:val="22"/>
              </w:rPr>
              <w:t xml:space="preserve">1    </w:t>
            </w:r>
          </w:p>
        </w:tc>
      </w:tr>
    </w:tbl>
    <w:p w14:paraId="1BD7C174">
      <w:pPr>
        <w:ind w:firstLine="560" w:firstLineChars="200"/>
        <w:rPr>
          <w:rFonts w:hint="eastAsia" w:ascii="仿宋" w:hAnsi="仿宋" w:eastAsia="仿宋"/>
          <w:bCs/>
          <w:sz w:val="28"/>
          <w:szCs w:val="28"/>
        </w:rPr>
      </w:pPr>
      <w:r>
        <w:rPr>
          <w:rFonts w:hint="eastAsia" w:ascii="仿宋" w:hAnsi="仿宋" w:eastAsia="仿宋"/>
          <w:bCs/>
          <w:sz w:val="28"/>
          <w:szCs w:val="28"/>
        </w:rPr>
        <w:t>3）权重计算</w:t>
      </w:r>
    </w:p>
    <w:p w14:paraId="6EDE69FA">
      <w:pPr>
        <w:spacing w:line="560" w:lineRule="exact"/>
        <w:ind w:firstLine="560" w:firstLineChars="200"/>
        <w:rPr>
          <w:rFonts w:hint="eastAsia" w:ascii="仿宋" w:hAnsi="仿宋" w:eastAsia="仿宋"/>
          <w:bCs/>
          <w:sz w:val="28"/>
          <w:szCs w:val="28"/>
        </w:rPr>
      </w:pPr>
      <w:r>
        <w:rPr>
          <w:rFonts w:hint="eastAsia" w:ascii="仿宋" w:hAnsi="仿宋" w:eastAsia="仿宋"/>
          <w:bCs/>
          <w:sz w:val="28"/>
          <w:szCs w:val="28"/>
        </w:rPr>
        <w:t>为保证评价指标选取和各指标权重确定的科学性、合理性，研究过程中编制技术组广泛征求了水文地质、环境保护、风险与污染损害评估等领域相关专家对指标体系的选取和权重确定的意见并不断修改完善。技术组向7家专业单位共24位行业专家发放了《涉金属矿山环境风险评估指标权重设置与指标评分设置调查表》，，由专家对各项指标权重进行打分，技术组采用德尔菲法和层次分析法相结合的方法分析专家打分结果，确定各指标权重。例如，</w:t>
      </w:r>
      <w:r>
        <w:rPr>
          <w:rFonts w:ascii="仿宋" w:hAnsi="仿宋" w:eastAsia="仿宋"/>
          <w:bCs/>
          <w:sz w:val="28"/>
          <w:szCs w:val="28"/>
        </w:rPr>
        <w:t>通过专家经验</w:t>
      </w:r>
      <w:r>
        <w:rPr>
          <w:rFonts w:hint="eastAsia" w:ascii="仿宋" w:hAnsi="仿宋" w:eastAsia="仿宋"/>
          <w:bCs/>
          <w:sz w:val="28"/>
          <w:szCs w:val="28"/>
        </w:rPr>
        <w:t>判断，风险源危害性（H）、污染物迁移性（M）、环境敏感性（S）相互比较的权重矩阵见表4-5所示。</w:t>
      </w:r>
    </w:p>
    <w:p w14:paraId="45106BF7">
      <w:pPr>
        <w:spacing w:line="560" w:lineRule="exact"/>
        <w:jc w:val="center"/>
        <w:rPr>
          <w:rFonts w:hint="eastAsia" w:ascii="黑体" w:hAnsi="黑体" w:eastAsia="黑体"/>
          <w:bCs/>
          <w:sz w:val="24"/>
          <w:szCs w:val="24"/>
        </w:rPr>
      </w:pPr>
      <w:r>
        <w:rPr>
          <w:rFonts w:hint="eastAsia" w:ascii="黑体" w:hAnsi="黑体" w:eastAsia="黑体"/>
          <w:bCs/>
          <w:sz w:val="24"/>
          <w:szCs w:val="24"/>
        </w:rPr>
        <w:t>表4-5 污染风险单元环境风险各指标相对重要性性判断矩阵专家打分结果</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75"/>
        <w:gridCol w:w="2075"/>
        <w:gridCol w:w="2076"/>
        <w:gridCol w:w="2076"/>
      </w:tblGrid>
      <w:tr w14:paraId="3AB06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075" w:type="dxa"/>
            <w:vAlign w:val="center"/>
          </w:tcPr>
          <w:p w14:paraId="27B4AF21">
            <w:pPr>
              <w:jc w:val="center"/>
              <w:rPr>
                <w:rFonts w:eastAsia="仿宋"/>
                <w:b/>
                <w:bCs/>
                <w:sz w:val="22"/>
              </w:rPr>
            </w:pPr>
            <w:r>
              <w:rPr>
                <w:rFonts w:eastAsia="仿宋"/>
                <w:b/>
                <w:bCs/>
                <w:sz w:val="22"/>
              </w:rPr>
              <w:t>风险单元环境风险等级</w:t>
            </w:r>
          </w:p>
        </w:tc>
        <w:tc>
          <w:tcPr>
            <w:tcW w:w="2075" w:type="dxa"/>
            <w:vAlign w:val="center"/>
          </w:tcPr>
          <w:p w14:paraId="59AF5C21">
            <w:pPr>
              <w:jc w:val="center"/>
              <w:rPr>
                <w:rFonts w:eastAsia="仿宋"/>
                <w:b/>
                <w:bCs/>
                <w:sz w:val="22"/>
              </w:rPr>
            </w:pPr>
            <w:r>
              <w:rPr>
                <w:rFonts w:eastAsia="仿宋"/>
                <w:b/>
                <w:bCs/>
                <w:sz w:val="22"/>
              </w:rPr>
              <w:t>污染源危害性（H）</w:t>
            </w:r>
          </w:p>
        </w:tc>
        <w:tc>
          <w:tcPr>
            <w:tcW w:w="2076" w:type="dxa"/>
            <w:vAlign w:val="center"/>
          </w:tcPr>
          <w:p w14:paraId="376E4158">
            <w:pPr>
              <w:jc w:val="center"/>
              <w:rPr>
                <w:rFonts w:eastAsia="仿宋"/>
                <w:b/>
                <w:bCs/>
                <w:sz w:val="22"/>
              </w:rPr>
            </w:pPr>
            <w:r>
              <w:rPr>
                <w:rFonts w:eastAsia="仿宋"/>
                <w:b/>
                <w:bCs/>
                <w:sz w:val="22"/>
              </w:rPr>
              <w:t>污染物迁移性（M）</w:t>
            </w:r>
          </w:p>
        </w:tc>
        <w:tc>
          <w:tcPr>
            <w:tcW w:w="2076" w:type="dxa"/>
            <w:vAlign w:val="center"/>
          </w:tcPr>
          <w:p w14:paraId="1BCDA144">
            <w:pPr>
              <w:jc w:val="center"/>
              <w:rPr>
                <w:rFonts w:eastAsia="仿宋"/>
                <w:b/>
                <w:bCs/>
                <w:sz w:val="22"/>
              </w:rPr>
            </w:pPr>
            <w:r>
              <w:rPr>
                <w:rFonts w:eastAsia="仿宋"/>
                <w:b/>
                <w:bCs/>
                <w:sz w:val="22"/>
              </w:rPr>
              <w:t>受体敏感性（S）</w:t>
            </w:r>
          </w:p>
        </w:tc>
      </w:tr>
      <w:tr w14:paraId="03FBF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075" w:type="dxa"/>
            <w:vAlign w:val="center"/>
          </w:tcPr>
          <w:p w14:paraId="1D89BC7F">
            <w:pPr>
              <w:jc w:val="center"/>
              <w:rPr>
                <w:rFonts w:eastAsia="仿宋"/>
                <w:sz w:val="22"/>
              </w:rPr>
            </w:pPr>
            <w:r>
              <w:rPr>
                <w:rFonts w:eastAsia="仿宋"/>
                <w:sz w:val="22"/>
              </w:rPr>
              <w:t>污染源危害性（H）</w:t>
            </w:r>
          </w:p>
        </w:tc>
        <w:tc>
          <w:tcPr>
            <w:tcW w:w="2075" w:type="dxa"/>
            <w:vAlign w:val="center"/>
          </w:tcPr>
          <w:p w14:paraId="481106A3">
            <w:pPr>
              <w:jc w:val="center"/>
              <w:rPr>
                <w:rFonts w:eastAsia="仿宋"/>
                <w:sz w:val="22"/>
              </w:rPr>
            </w:pPr>
            <w:r>
              <w:rPr>
                <w:rFonts w:eastAsia="仿宋"/>
                <w:sz w:val="22"/>
              </w:rPr>
              <w:t>1</w:t>
            </w:r>
          </w:p>
        </w:tc>
        <w:tc>
          <w:tcPr>
            <w:tcW w:w="2076" w:type="dxa"/>
            <w:vAlign w:val="center"/>
          </w:tcPr>
          <w:p w14:paraId="50388563">
            <w:pPr>
              <w:jc w:val="center"/>
              <w:rPr>
                <w:rFonts w:eastAsia="仿宋"/>
                <w:sz w:val="22"/>
              </w:rPr>
            </w:pPr>
            <w:r>
              <w:rPr>
                <w:rFonts w:eastAsia="仿宋"/>
                <w:sz w:val="22"/>
              </w:rPr>
              <w:t>3</w:t>
            </w:r>
          </w:p>
        </w:tc>
        <w:tc>
          <w:tcPr>
            <w:tcW w:w="2076" w:type="dxa"/>
            <w:vAlign w:val="center"/>
          </w:tcPr>
          <w:p w14:paraId="23620F91">
            <w:pPr>
              <w:jc w:val="center"/>
              <w:rPr>
                <w:rFonts w:eastAsia="仿宋"/>
                <w:sz w:val="22"/>
              </w:rPr>
            </w:pPr>
            <w:r>
              <w:rPr>
                <w:rFonts w:eastAsia="仿宋"/>
                <w:sz w:val="22"/>
              </w:rPr>
              <w:t>2</w:t>
            </w:r>
          </w:p>
        </w:tc>
      </w:tr>
      <w:tr w14:paraId="7953A4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2075" w:type="dxa"/>
            <w:vAlign w:val="center"/>
          </w:tcPr>
          <w:p w14:paraId="7440C113">
            <w:pPr>
              <w:jc w:val="center"/>
              <w:rPr>
                <w:rFonts w:eastAsia="仿宋"/>
                <w:sz w:val="22"/>
              </w:rPr>
            </w:pPr>
            <w:r>
              <w:rPr>
                <w:rFonts w:eastAsia="仿宋"/>
                <w:sz w:val="22"/>
              </w:rPr>
              <w:t>污染物迁移性（M）</w:t>
            </w:r>
          </w:p>
        </w:tc>
        <w:tc>
          <w:tcPr>
            <w:tcW w:w="2075" w:type="dxa"/>
            <w:vAlign w:val="center"/>
          </w:tcPr>
          <w:p w14:paraId="733BE791">
            <w:pPr>
              <w:jc w:val="center"/>
              <w:rPr>
                <w:rFonts w:eastAsia="仿宋"/>
                <w:sz w:val="22"/>
              </w:rPr>
            </w:pPr>
            <w:r>
              <w:rPr>
                <w:rFonts w:eastAsia="仿宋"/>
                <w:sz w:val="22"/>
              </w:rPr>
              <w:t>1/3</w:t>
            </w:r>
          </w:p>
        </w:tc>
        <w:tc>
          <w:tcPr>
            <w:tcW w:w="2076" w:type="dxa"/>
            <w:vAlign w:val="center"/>
          </w:tcPr>
          <w:p w14:paraId="5C2F94A5">
            <w:pPr>
              <w:jc w:val="center"/>
              <w:rPr>
                <w:rFonts w:eastAsia="仿宋"/>
                <w:sz w:val="22"/>
              </w:rPr>
            </w:pPr>
            <w:r>
              <w:rPr>
                <w:rFonts w:eastAsia="仿宋"/>
                <w:sz w:val="22"/>
              </w:rPr>
              <w:t>1</w:t>
            </w:r>
          </w:p>
        </w:tc>
        <w:tc>
          <w:tcPr>
            <w:tcW w:w="2076" w:type="dxa"/>
            <w:vAlign w:val="center"/>
          </w:tcPr>
          <w:p w14:paraId="2866583B">
            <w:pPr>
              <w:jc w:val="center"/>
              <w:rPr>
                <w:rFonts w:eastAsia="仿宋"/>
                <w:sz w:val="22"/>
              </w:rPr>
            </w:pPr>
            <w:r>
              <w:rPr>
                <w:rFonts w:eastAsia="仿宋"/>
                <w:sz w:val="22"/>
              </w:rPr>
              <w:t>1/2</w:t>
            </w:r>
          </w:p>
        </w:tc>
      </w:tr>
      <w:tr w14:paraId="25D4EB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075" w:type="dxa"/>
            <w:vAlign w:val="center"/>
          </w:tcPr>
          <w:p w14:paraId="18DC9C40">
            <w:pPr>
              <w:jc w:val="center"/>
              <w:rPr>
                <w:rFonts w:eastAsia="仿宋"/>
                <w:sz w:val="22"/>
              </w:rPr>
            </w:pPr>
            <w:r>
              <w:rPr>
                <w:rFonts w:eastAsia="仿宋"/>
                <w:sz w:val="22"/>
              </w:rPr>
              <w:t>受体敏感性（S）</w:t>
            </w:r>
          </w:p>
        </w:tc>
        <w:tc>
          <w:tcPr>
            <w:tcW w:w="2075" w:type="dxa"/>
            <w:vAlign w:val="center"/>
          </w:tcPr>
          <w:p w14:paraId="626313CC">
            <w:pPr>
              <w:jc w:val="center"/>
              <w:rPr>
                <w:rFonts w:eastAsia="仿宋"/>
                <w:sz w:val="22"/>
              </w:rPr>
            </w:pPr>
            <w:r>
              <w:rPr>
                <w:rFonts w:eastAsia="仿宋"/>
                <w:sz w:val="22"/>
              </w:rPr>
              <w:t>1/2</w:t>
            </w:r>
          </w:p>
        </w:tc>
        <w:tc>
          <w:tcPr>
            <w:tcW w:w="2076" w:type="dxa"/>
            <w:vAlign w:val="center"/>
          </w:tcPr>
          <w:p w14:paraId="0DFB5D11">
            <w:pPr>
              <w:jc w:val="center"/>
              <w:rPr>
                <w:rFonts w:eastAsia="仿宋"/>
                <w:sz w:val="22"/>
              </w:rPr>
            </w:pPr>
            <w:r>
              <w:rPr>
                <w:rFonts w:eastAsia="仿宋"/>
                <w:sz w:val="22"/>
              </w:rPr>
              <w:t>2</w:t>
            </w:r>
          </w:p>
        </w:tc>
        <w:tc>
          <w:tcPr>
            <w:tcW w:w="2076" w:type="dxa"/>
            <w:vAlign w:val="center"/>
          </w:tcPr>
          <w:p w14:paraId="7F2E147D">
            <w:pPr>
              <w:jc w:val="center"/>
              <w:rPr>
                <w:rFonts w:eastAsia="仿宋"/>
                <w:sz w:val="22"/>
              </w:rPr>
            </w:pPr>
            <w:r>
              <w:rPr>
                <w:rFonts w:eastAsia="仿宋"/>
                <w:sz w:val="22"/>
              </w:rPr>
              <w:t>1</w:t>
            </w:r>
          </w:p>
        </w:tc>
      </w:tr>
    </w:tbl>
    <w:p w14:paraId="05373979">
      <w:pPr>
        <w:spacing w:line="560" w:lineRule="exact"/>
        <w:ind w:firstLine="560" w:firstLineChars="200"/>
        <w:rPr>
          <w:rFonts w:eastAsia="仿宋"/>
          <w:b/>
          <w:bCs/>
          <w:sz w:val="28"/>
          <w:szCs w:val="28"/>
        </w:rPr>
      </w:pPr>
      <w:r>
        <w:rPr>
          <w:rFonts w:hint="eastAsia" w:eastAsia="仿宋"/>
          <w:sz w:val="28"/>
          <w:szCs w:val="28"/>
        </w:rPr>
        <w:t>①</w:t>
      </w:r>
      <w:r>
        <w:rPr>
          <w:rFonts w:eastAsia="仿宋"/>
          <w:sz w:val="28"/>
          <w:szCs w:val="28"/>
        </w:rPr>
        <w:t>计算权重向量</w:t>
      </w:r>
      <w:r>
        <w:rPr>
          <w:rFonts w:hint="eastAsia" w:eastAsia="仿宋"/>
          <w:sz w:val="28"/>
          <w:szCs w:val="28"/>
        </w:rPr>
        <w:t>，</w:t>
      </w:r>
      <w:r>
        <w:rPr>
          <w:rFonts w:eastAsia="仿宋"/>
          <w:bCs/>
          <w:sz w:val="28"/>
          <w:szCs w:val="28"/>
        </w:rPr>
        <w:t>几何平均值</w:t>
      </w:r>
      <w:r>
        <w:rPr>
          <w:rFonts w:hint="eastAsia" w:eastAsia="仿宋"/>
          <w:bCs/>
          <w:sz w:val="28"/>
          <w:szCs w:val="28"/>
        </w:rPr>
        <w:t>为</w:t>
      </w:r>
      <w:r>
        <w:rPr>
          <w:rFonts w:eastAsia="仿宋"/>
          <w:bCs/>
          <w:sz w:val="28"/>
          <w:szCs w:val="28"/>
        </w:rPr>
        <w:t>：</w:t>
      </w:r>
    </w:p>
    <w:p w14:paraId="32A492AD">
      <w:pPr>
        <w:spacing w:line="560" w:lineRule="exact"/>
        <w:ind w:left="1440"/>
        <w:rPr>
          <w:rFonts w:eastAsia="仿宋"/>
          <w:bCs/>
          <w:sz w:val="28"/>
          <w:szCs w:val="28"/>
        </w:rPr>
      </w:pPr>
      <w:r>
        <w:rPr>
          <w:rFonts w:eastAsia="仿宋"/>
          <w:bCs/>
          <w:sz w:val="28"/>
          <w:szCs w:val="28"/>
        </w:rPr>
        <w:t>H：</w:t>
      </w:r>
      <w:r>
        <w:rPr>
          <w:rFonts w:ascii="Cambria Math" w:hAnsi="Cambria Math" w:eastAsia="仿宋" w:cs="Cambria Math"/>
          <w:bCs/>
          <w:sz w:val="28"/>
          <w:szCs w:val="28"/>
        </w:rPr>
        <w:t>∛</w:t>
      </w:r>
      <w:r>
        <w:rPr>
          <w:rFonts w:eastAsia="仿宋"/>
          <w:bCs/>
          <w:sz w:val="28"/>
          <w:szCs w:val="28"/>
        </w:rPr>
        <w:t>(1×3×2) ≈ 1.817</w:t>
      </w:r>
    </w:p>
    <w:p w14:paraId="6E9BC7C5">
      <w:pPr>
        <w:spacing w:line="560" w:lineRule="exact"/>
        <w:ind w:left="1440"/>
        <w:rPr>
          <w:rFonts w:eastAsia="仿宋"/>
          <w:bCs/>
          <w:sz w:val="28"/>
          <w:szCs w:val="28"/>
        </w:rPr>
      </w:pPr>
      <w:r>
        <w:rPr>
          <w:rFonts w:eastAsia="仿宋"/>
          <w:bCs/>
          <w:sz w:val="28"/>
          <w:szCs w:val="28"/>
        </w:rPr>
        <w:t>M：</w:t>
      </w:r>
      <w:r>
        <w:rPr>
          <w:rFonts w:ascii="Cambria Math" w:hAnsi="Cambria Math" w:eastAsia="仿宋" w:cs="Cambria Math"/>
          <w:bCs/>
          <w:sz w:val="28"/>
          <w:szCs w:val="28"/>
        </w:rPr>
        <w:t>∛</w:t>
      </w:r>
      <w:r>
        <w:rPr>
          <w:rFonts w:eastAsia="仿宋"/>
          <w:bCs/>
          <w:sz w:val="28"/>
          <w:szCs w:val="28"/>
        </w:rPr>
        <w:t>(1/3×1×1/2) ≈ 0.550</w:t>
      </w:r>
    </w:p>
    <w:p w14:paraId="694BB0FF">
      <w:pPr>
        <w:spacing w:line="560" w:lineRule="exact"/>
        <w:ind w:left="1440"/>
        <w:rPr>
          <w:rFonts w:eastAsia="仿宋"/>
          <w:bCs/>
          <w:sz w:val="28"/>
          <w:szCs w:val="28"/>
        </w:rPr>
      </w:pPr>
      <w:r>
        <w:rPr>
          <w:rFonts w:eastAsia="仿宋"/>
          <w:bCs/>
          <w:sz w:val="28"/>
          <w:szCs w:val="28"/>
        </w:rPr>
        <w:t>S：</w:t>
      </w:r>
      <w:r>
        <w:rPr>
          <w:rFonts w:ascii="Cambria Math" w:hAnsi="Cambria Math" w:eastAsia="仿宋" w:cs="Cambria Math"/>
          <w:bCs/>
          <w:sz w:val="28"/>
          <w:szCs w:val="28"/>
        </w:rPr>
        <w:t>∛</w:t>
      </w:r>
      <w:r>
        <w:rPr>
          <w:rFonts w:eastAsia="仿宋"/>
          <w:bCs/>
          <w:sz w:val="28"/>
          <w:szCs w:val="28"/>
        </w:rPr>
        <w:t>(1/2×2×1) ≈ 1.000</w:t>
      </w:r>
    </w:p>
    <w:p w14:paraId="17D21E26">
      <w:pPr>
        <w:spacing w:line="560" w:lineRule="exact"/>
        <w:ind w:firstLine="560" w:firstLineChars="200"/>
        <w:rPr>
          <w:rFonts w:eastAsia="仿宋"/>
          <w:bCs/>
          <w:sz w:val="28"/>
          <w:szCs w:val="28"/>
        </w:rPr>
      </w:pPr>
      <w:r>
        <w:rPr>
          <w:rFonts w:hint="eastAsia" w:eastAsia="仿宋"/>
          <w:bCs/>
          <w:sz w:val="28"/>
          <w:szCs w:val="28"/>
        </w:rPr>
        <w:t>②</w:t>
      </w:r>
      <w:r>
        <w:rPr>
          <w:rFonts w:eastAsia="仿宋"/>
          <w:bCs/>
          <w:sz w:val="28"/>
          <w:szCs w:val="28"/>
        </w:rPr>
        <w:t>归一化权重：</w:t>
      </w:r>
    </w:p>
    <w:p w14:paraId="72DB66C7">
      <w:pPr>
        <w:spacing w:line="560" w:lineRule="exact"/>
        <w:ind w:left="1440"/>
        <w:rPr>
          <w:rFonts w:eastAsia="仿宋"/>
          <w:bCs/>
          <w:sz w:val="28"/>
          <w:szCs w:val="28"/>
        </w:rPr>
      </w:pPr>
      <w:r>
        <w:rPr>
          <w:rFonts w:eastAsia="仿宋"/>
          <w:bCs/>
          <w:sz w:val="28"/>
          <w:szCs w:val="28"/>
        </w:rPr>
        <w:t>H权重 = 1.817 / (1.817 + 0.550 + 1.000) ≈ 0.55</w:t>
      </w:r>
    </w:p>
    <w:p w14:paraId="6602CB5D">
      <w:pPr>
        <w:spacing w:line="560" w:lineRule="exact"/>
        <w:ind w:left="1440"/>
        <w:rPr>
          <w:rFonts w:eastAsia="仿宋"/>
          <w:bCs/>
          <w:sz w:val="28"/>
          <w:szCs w:val="28"/>
        </w:rPr>
      </w:pPr>
      <w:r>
        <w:rPr>
          <w:rFonts w:eastAsia="仿宋"/>
          <w:bCs/>
          <w:sz w:val="28"/>
          <w:szCs w:val="28"/>
        </w:rPr>
        <w:t>M权重 = 0.550 / 3.367 ≈ 0.16</w:t>
      </w:r>
    </w:p>
    <w:p w14:paraId="14409E5B">
      <w:pPr>
        <w:spacing w:line="560" w:lineRule="exact"/>
        <w:ind w:left="1440"/>
        <w:rPr>
          <w:rFonts w:eastAsia="仿宋"/>
          <w:bCs/>
          <w:sz w:val="28"/>
          <w:szCs w:val="28"/>
        </w:rPr>
      </w:pPr>
      <w:r>
        <w:rPr>
          <w:rFonts w:eastAsia="仿宋"/>
          <w:bCs/>
          <w:sz w:val="28"/>
          <w:szCs w:val="28"/>
        </w:rPr>
        <w:t>S权重 = 1.000 / 3.367 ≈ 0.29</w:t>
      </w:r>
    </w:p>
    <w:p w14:paraId="0E07CE4C">
      <w:pPr>
        <w:spacing w:line="560" w:lineRule="exact"/>
        <w:ind w:firstLine="560" w:firstLineChars="200"/>
        <w:rPr>
          <w:rFonts w:eastAsia="仿宋"/>
          <w:bCs/>
          <w:sz w:val="28"/>
          <w:szCs w:val="28"/>
        </w:rPr>
      </w:pPr>
      <w:r>
        <w:rPr>
          <w:rFonts w:hint="eastAsia" w:ascii="Cambria Math" w:hAnsi="Cambria Math" w:eastAsia="仿宋" w:cs="Cambria Math"/>
          <w:bCs/>
          <w:sz w:val="28"/>
          <w:szCs w:val="28"/>
        </w:rPr>
        <w:t>③</w:t>
      </w:r>
      <w:r>
        <w:rPr>
          <w:rFonts w:eastAsia="仿宋"/>
          <w:bCs/>
          <w:sz w:val="28"/>
          <w:szCs w:val="28"/>
        </w:rPr>
        <w:t>一致性检验</w:t>
      </w:r>
    </w:p>
    <w:p w14:paraId="7E7FC186">
      <w:pPr>
        <w:spacing w:line="560" w:lineRule="exact"/>
        <w:ind w:left="720"/>
        <w:rPr>
          <w:rFonts w:eastAsia="仿宋"/>
          <w:bCs/>
          <w:sz w:val="28"/>
          <w:szCs w:val="28"/>
        </w:rPr>
      </w:pPr>
      <w:r>
        <w:rPr>
          <w:rFonts w:eastAsia="仿宋"/>
          <w:bCs/>
          <w:sz w:val="28"/>
          <w:szCs w:val="28"/>
        </w:rPr>
        <w:t>最大特征值 λ</w:t>
      </w:r>
      <w:r>
        <w:rPr>
          <w:rFonts w:eastAsia="仿宋"/>
          <w:bCs/>
          <w:sz w:val="28"/>
          <w:szCs w:val="28"/>
          <w:vertAlign w:val="subscript"/>
        </w:rPr>
        <w:t>max</w:t>
      </w:r>
      <w:r>
        <w:rPr>
          <w:rFonts w:eastAsia="仿宋"/>
          <w:bCs/>
          <w:sz w:val="28"/>
          <w:szCs w:val="28"/>
        </w:rPr>
        <w:t>≈ 3.009</w:t>
      </w:r>
    </w:p>
    <w:p w14:paraId="06303256">
      <w:pPr>
        <w:spacing w:line="560" w:lineRule="exact"/>
        <w:ind w:left="720"/>
        <w:rPr>
          <w:rFonts w:eastAsia="仿宋"/>
          <w:bCs/>
          <w:sz w:val="28"/>
          <w:szCs w:val="28"/>
        </w:rPr>
      </w:pPr>
      <w:r>
        <w:rPr>
          <w:rFonts w:eastAsia="仿宋"/>
          <w:bCs/>
          <w:sz w:val="28"/>
          <w:szCs w:val="28"/>
        </w:rPr>
        <w:t>一致性指标 C</w:t>
      </w:r>
      <w:r>
        <w:rPr>
          <w:rFonts w:eastAsia="仿宋"/>
          <w:bCs/>
          <w:sz w:val="28"/>
          <w:szCs w:val="28"/>
          <w:vertAlign w:val="subscript"/>
        </w:rPr>
        <w:t>I</w:t>
      </w:r>
      <w:r>
        <w:rPr>
          <w:rFonts w:eastAsia="仿宋"/>
          <w:bCs/>
          <w:sz w:val="28"/>
          <w:szCs w:val="28"/>
        </w:rPr>
        <w:t xml:space="preserve"> =</w:t>
      </w:r>
      <w:r>
        <w:rPr>
          <w:rFonts w:hint="eastAsia" w:eastAsia="仿宋"/>
          <w:bCs/>
          <w:sz w:val="28"/>
          <w:szCs w:val="28"/>
        </w:rPr>
        <w:t>（</w:t>
      </w:r>
      <w:r>
        <w:rPr>
          <w:rFonts w:eastAsia="仿宋"/>
          <w:bCs/>
          <w:sz w:val="28"/>
          <w:szCs w:val="28"/>
        </w:rPr>
        <w:t>λ</w:t>
      </w:r>
      <w:r>
        <w:rPr>
          <w:rFonts w:eastAsia="仿宋"/>
          <w:bCs/>
          <w:sz w:val="28"/>
          <w:szCs w:val="28"/>
          <w:vertAlign w:val="subscript"/>
        </w:rPr>
        <w:t>max</w:t>
      </w:r>
      <w:r>
        <w:rPr>
          <w:rFonts w:hint="eastAsia" w:eastAsia="仿宋"/>
          <w:bCs/>
          <w:sz w:val="28"/>
          <w:szCs w:val="28"/>
        </w:rPr>
        <w:t>-</w:t>
      </w:r>
      <w:r>
        <w:rPr>
          <w:rFonts w:eastAsia="仿宋"/>
          <w:bCs/>
          <w:sz w:val="28"/>
          <w:szCs w:val="28"/>
        </w:rPr>
        <w:t>3</w:t>
      </w:r>
      <w:r>
        <w:rPr>
          <w:rFonts w:hint="eastAsia" w:eastAsia="仿宋"/>
          <w:bCs/>
          <w:sz w:val="28"/>
          <w:szCs w:val="28"/>
        </w:rPr>
        <w:t>）</w:t>
      </w:r>
      <w:r>
        <w:rPr>
          <w:rFonts w:eastAsia="仿宋"/>
          <w:bCs/>
          <w:sz w:val="28"/>
          <w:szCs w:val="28"/>
        </w:rPr>
        <w:t>/2 ≈ 0.0045</w:t>
      </w:r>
    </w:p>
    <w:p w14:paraId="0207BC14">
      <w:pPr>
        <w:spacing w:line="560" w:lineRule="exact"/>
        <w:ind w:left="720"/>
        <w:rPr>
          <w:rFonts w:eastAsia="仿宋"/>
          <w:bCs/>
          <w:sz w:val="28"/>
          <w:szCs w:val="28"/>
        </w:rPr>
      </w:pPr>
      <w:r>
        <w:rPr>
          <w:rFonts w:eastAsia="仿宋"/>
          <w:bCs/>
          <w:sz w:val="28"/>
          <w:szCs w:val="28"/>
        </w:rPr>
        <w:t>随机一致性指标RI = 0.58（n=3时）</w:t>
      </w:r>
    </w:p>
    <w:p w14:paraId="25981F8F">
      <w:pPr>
        <w:spacing w:line="560" w:lineRule="exact"/>
        <w:ind w:left="720"/>
        <w:rPr>
          <w:rFonts w:eastAsia="仿宋"/>
          <w:bCs/>
          <w:sz w:val="28"/>
          <w:szCs w:val="28"/>
        </w:rPr>
      </w:pPr>
      <w:r>
        <w:rPr>
          <w:rFonts w:eastAsia="仿宋"/>
          <w:bCs/>
          <w:sz w:val="28"/>
          <w:szCs w:val="28"/>
        </w:rPr>
        <w:t>CR = CI / RI ≈ 0.0078 &lt; 0.1，通过检验。</w:t>
      </w:r>
    </w:p>
    <w:p w14:paraId="09D9AD91">
      <w:pPr>
        <w:spacing w:line="560" w:lineRule="exact"/>
        <w:ind w:left="720"/>
        <w:rPr>
          <w:rFonts w:eastAsia="仿宋"/>
          <w:sz w:val="28"/>
          <w:szCs w:val="28"/>
        </w:rPr>
      </w:pPr>
      <w:r>
        <w:rPr>
          <w:rFonts w:eastAsia="仿宋"/>
          <w:sz w:val="28"/>
          <w:szCs w:val="28"/>
        </w:rPr>
        <w:t>从而，综合风险指数（R）0.55H+0.1</w:t>
      </w:r>
      <w:r>
        <w:rPr>
          <w:rFonts w:hint="eastAsia" w:eastAsia="仿宋"/>
          <w:sz w:val="28"/>
          <w:szCs w:val="28"/>
        </w:rPr>
        <w:t>6</w:t>
      </w:r>
      <w:r>
        <w:rPr>
          <w:rFonts w:eastAsia="仿宋"/>
          <w:sz w:val="28"/>
          <w:szCs w:val="28"/>
        </w:rPr>
        <w:t>M+0.2</w:t>
      </w:r>
      <w:r>
        <w:rPr>
          <w:rFonts w:hint="eastAsia" w:eastAsia="仿宋"/>
          <w:sz w:val="28"/>
          <w:szCs w:val="28"/>
        </w:rPr>
        <w:t>9</w:t>
      </w:r>
      <w:r>
        <w:rPr>
          <w:rFonts w:eastAsia="仿宋"/>
          <w:sz w:val="28"/>
          <w:szCs w:val="28"/>
        </w:rPr>
        <w:t>S</w:t>
      </w:r>
    </w:p>
    <w:p w14:paraId="46497059">
      <w:pPr>
        <w:pStyle w:val="5"/>
      </w:pPr>
      <w:r>
        <w:rPr>
          <w:rFonts w:hint="eastAsia"/>
        </w:rPr>
        <w:t>5、风险防控目标与防控策略制定</w:t>
      </w:r>
    </w:p>
    <w:p w14:paraId="6DFC5B30">
      <w:pPr>
        <w:pStyle w:val="6"/>
        <w:spacing w:before="0" w:after="0" w:line="240" w:lineRule="auto"/>
        <w:ind w:left="862" w:hanging="862"/>
        <w:rPr>
          <w:rFonts w:hint="eastAsia" w:ascii="华文楷体" w:hAnsi="华文楷体" w:eastAsia="华文楷体"/>
        </w:rPr>
      </w:pPr>
      <w:r>
        <w:rPr>
          <w:rFonts w:hint="eastAsia" w:ascii="华文楷体" w:hAnsi="华文楷体" w:eastAsia="华文楷体"/>
        </w:rPr>
        <w:t>（1）不同类型断面风险防控目标的制定</w:t>
      </w:r>
    </w:p>
    <w:p w14:paraId="72A3BB7F">
      <w:pPr>
        <w:spacing w:line="560" w:lineRule="exact"/>
        <w:ind w:firstLine="560" w:firstLineChars="200"/>
        <w:rPr>
          <w:rFonts w:hint="eastAsia" w:ascii="仿宋" w:hAnsi="仿宋" w:eastAsia="仿宋"/>
          <w:bCs/>
          <w:sz w:val="28"/>
          <w:szCs w:val="28"/>
        </w:rPr>
      </w:pPr>
      <w:r>
        <w:rPr>
          <w:rFonts w:hint="eastAsia" w:ascii="仿宋" w:hAnsi="仿宋" w:eastAsia="仿宋"/>
          <w:bCs/>
          <w:sz w:val="28"/>
          <w:szCs w:val="28"/>
        </w:rPr>
        <w:t>基于环境风险评估结果，结合环境管理要求和现场实际，提出涉金属矿山环境污染分区不同类型断面的防控目标及防控策略。</w:t>
      </w:r>
    </w:p>
    <w:p w14:paraId="244D2C6D">
      <w:pPr>
        <w:spacing w:line="560" w:lineRule="exact"/>
        <w:ind w:firstLine="560" w:firstLineChars="200"/>
        <w:rPr>
          <w:rFonts w:hint="eastAsia" w:ascii="仿宋" w:hAnsi="仿宋" w:eastAsia="仿宋"/>
          <w:bCs/>
          <w:sz w:val="28"/>
          <w:szCs w:val="28"/>
        </w:rPr>
      </w:pPr>
      <w:r>
        <w:rPr>
          <w:rFonts w:hint="eastAsia" w:ascii="仿宋" w:hAnsi="仿宋" w:eastAsia="仿宋"/>
          <w:bCs/>
          <w:sz w:val="28"/>
          <w:szCs w:val="28"/>
        </w:rPr>
        <w:t>涉金属矿山污染防控目标的制定，要</w:t>
      </w:r>
      <w:r>
        <w:rPr>
          <w:rFonts w:ascii="仿宋" w:hAnsi="仿宋" w:eastAsia="仿宋"/>
          <w:bCs/>
          <w:sz w:val="28"/>
          <w:szCs w:val="28"/>
        </w:rPr>
        <w:t>充分认识重金属污染防治的客观规律，</w:t>
      </w:r>
      <w:r>
        <w:rPr>
          <w:rFonts w:hint="eastAsia" w:ascii="仿宋" w:hAnsi="仿宋" w:eastAsia="仿宋"/>
          <w:bCs/>
          <w:sz w:val="28"/>
          <w:szCs w:val="28"/>
        </w:rPr>
        <w:t>不会一蹴而就，需久久为功。一级断面为污染控制断面，设置在污染风险单元内所有污染源下游，若掌握历史遗留矿山矿区资料可设置在矿区边界。该断面作用为监测风险源的阻控、清除等综合整治效果。污染防控目标要求为地表水体中特征污染物浓度不断呈现下降趋势。二级断面为风险管控断面，设置在污染风险单元的最下游，是其出界断面。该断面作用为监测在完成源头阻断情况下，特征污染物通过河流自净和自然恢复逐步衰减、浓度不断下降的趋势。三级断面质量控制断面，设置在主要河流流出风险防控区的边界处，若风险防控区内涉及考核断面、饮用水取水口、水源保护区、湖库等重要风险受体，则设置在各受体边界。污染防控目标为达到相应的水环境功能类别水质要求，在没有水质具体要求时，可按照一定的技术方法进行计算和确定。</w:t>
      </w:r>
    </w:p>
    <w:p w14:paraId="20B108BF">
      <w:pPr>
        <w:pStyle w:val="6"/>
        <w:spacing w:before="0" w:after="0" w:line="240" w:lineRule="auto"/>
        <w:ind w:left="862" w:hanging="862"/>
        <w:rPr>
          <w:rFonts w:hint="eastAsia" w:ascii="华文楷体" w:hAnsi="华文楷体" w:eastAsia="华文楷体"/>
        </w:rPr>
      </w:pPr>
      <w:r>
        <w:rPr>
          <w:rFonts w:hint="eastAsia" w:ascii="华文楷体" w:hAnsi="华文楷体" w:eastAsia="华文楷体"/>
        </w:rPr>
        <w:t>（2）风险防控策略的确定</w:t>
      </w:r>
    </w:p>
    <w:p w14:paraId="24FD6D77">
      <w:pPr>
        <w:spacing w:line="560" w:lineRule="exact"/>
        <w:ind w:firstLine="560" w:firstLineChars="200"/>
        <w:rPr>
          <w:rFonts w:hint="eastAsia" w:ascii="仿宋" w:hAnsi="仿宋" w:eastAsia="仿宋"/>
          <w:bCs/>
          <w:sz w:val="28"/>
          <w:szCs w:val="28"/>
        </w:rPr>
      </w:pPr>
      <w:r>
        <w:rPr>
          <w:rFonts w:hint="eastAsia" w:ascii="仿宋" w:hAnsi="仿宋" w:eastAsia="仿宋"/>
          <w:bCs/>
          <w:sz w:val="28"/>
          <w:szCs w:val="28"/>
        </w:rPr>
        <w:t>基于风险单元的风险等级评估结果，实施“</w:t>
      </w:r>
      <w:r>
        <w:rPr>
          <w:rFonts w:ascii="仿宋" w:hAnsi="仿宋" w:eastAsia="仿宋"/>
          <w:bCs/>
          <w:sz w:val="28"/>
          <w:szCs w:val="28"/>
        </w:rPr>
        <w:t>高治、中控、低防、全监测</w:t>
      </w:r>
      <w:r>
        <w:rPr>
          <w:rFonts w:hint="eastAsia" w:ascii="仿宋" w:hAnsi="仿宋" w:eastAsia="仿宋"/>
          <w:bCs/>
          <w:sz w:val="28"/>
          <w:szCs w:val="28"/>
        </w:rPr>
        <w:t>”</w:t>
      </w:r>
      <w:r>
        <w:rPr>
          <w:rFonts w:ascii="仿宋" w:hAnsi="仿宋" w:eastAsia="仿宋"/>
          <w:bCs/>
          <w:sz w:val="28"/>
          <w:szCs w:val="28"/>
        </w:rPr>
        <w:t>的防控策略</w:t>
      </w:r>
      <w:r>
        <w:rPr>
          <w:rFonts w:hint="eastAsia" w:ascii="仿宋" w:hAnsi="仿宋" w:eastAsia="仿宋"/>
          <w:bCs/>
          <w:sz w:val="28"/>
          <w:szCs w:val="28"/>
        </w:rPr>
        <w:t>，分区防控策略具体见指南所示。污染风险单元在进行污染防治可行性研究报告编制时，可根据该风险防控策略制定风险单元内污染防治技术路线图和确定适宜的污染防治技术方法。</w:t>
      </w:r>
    </w:p>
    <w:p w14:paraId="596D7CDC">
      <w:pPr>
        <w:pStyle w:val="2"/>
      </w:pPr>
      <w:bookmarkStart w:id="32" w:name="_Toc194590192"/>
      <w:r>
        <w:rPr>
          <w:rFonts w:hint="eastAsia"/>
        </w:rPr>
        <w:t>五、</w:t>
      </w:r>
      <w:r>
        <w:t>本文件与国内相关标准的对比</w:t>
      </w:r>
      <w:bookmarkEnd w:id="32"/>
      <w:r>
        <w:t xml:space="preserve"> </w:t>
      </w:r>
    </w:p>
    <w:p w14:paraId="65417434">
      <w:pPr>
        <w:spacing w:line="560" w:lineRule="exact"/>
        <w:ind w:firstLine="560" w:firstLineChars="200"/>
        <w:rPr>
          <w:rFonts w:hint="eastAsia" w:ascii="仿宋" w:hAnsi="仿宋" w:eastAsia="仿宋"/>
          <w:bCs/>
          <w:sz w:val="28"/>
          <w:szCs w:val="28"/>
        </w:rPr>
      </w:pPr>
      <w:r>
        <w:rPr>
          <w:rFonts w:hint="eastAsia" w:ascii="仿宋" w:hAnsi="仿宋" w:eastAsia="仿宋"/>
          <w:bCs/>
          <w:sz w:val="28"/>
          <w:szCs w:val="28"/>
        </w:rPr>
        <w:t>通过前述分析可知，国内目前尚未制定针对矿山污染风险评估的技术规范性文件，目前国内有的主要是针对人体健康风险评估而制定的技术性文件。风险评估规范性文件中，需要关注的是</w:t>
      </w:r>
      <w:r>
        <w:rPr>
          <w:rFonts w:ascii="仿宋" w:hAnsi="仿宋" w:eastAsia="仿宋" w:cs="黑体"/>
          <w:sz w:val="28"/>
          <w:szCs w:val="28"/>
        </w:rPr>
        <w:t>《行政区域突发环境事件风险评估推荐方法》</w:t>
      </w:r>
      <w:r>
        <w:rPr>
          <w:rFonts w:hint="eastAsia" w:ascii="仿宋" w:hAnsi="仿宋" w:eastAsia="仿宋" w:cs="黑体"/>
          <w:sz w:val="28"/>
          <w:szCs w:val="28"/>
        </w:rPr>
        <w:t>，该文件</w:t>
      </w:r>
      <w:r>
        <w:rPr>
          <w:rFonts w:hint="eastAsia" w:ascii="仿宋" w:hAnsi="仿宋" w:eastAsia="仿宋"/>
          <w:bCs/>
          <w:sz w:val="28"/>
          <w:szCs w:val="28"/>
        </w:rPr>
        <w:t>提出了</w:t>
      </w:r>
      <w:r>
        <w:rPr>
          <w:rFonts w:hint="eastAsia" w:ascii="仿宋" w:hAnsi="仿宋" w:eastAsia="仿宋"/>
          <w:b/>
          <w:sz w:val="28"/>
          <w:szCs w:val="28"/>
        </w:rPr>
        <w:t>环</w:t>
      </w:r>
      <w:r>
        <w:rPr>
          <w:rFonts w:hint="eastAsia" w:ascii="仿宋" w:hAnsi="仿宋" w:eastAsia="仿宋" w:cs="黑体"/>
          <w:sz w:val="28"/>
          <w:szCs w:val="28"/>
        </w:rPr>
        <w:t>境风险指数法和网格化法等两种区域尺度的环境风险评估方法，环境风险指数法从环境风险源、风险受体、环境风险防控管理能力等三个方面共同表征一个区域总体的风险水平，网格化法则是将被评价的区域按照一定地理空间划分为不同的若干网格，以网格为单元进行环境风险大小的量化计算。环境风险指数法也是从被评价的相应维度出发建立相应的评估指标，但其选择的是环境风险源、风险受体、环境风险防</w:t>
      </w:r>
      <w:r>
        <w:rPr>
          <w:rFonts w:hint="eastAsia" w:ascii="仿宋" w:hAnsi="仿宋" w:eastAsia="仿宋"/>
          <w:bCs/>
          <w:sz w:val="28"/>
          <w:szCs w:val="28"/>
        </w:rPr>
        <w:t>控管理能力等三个维度，与环境风险三要素不尽相同，本文件主要借鉴其评估思路。</w:t>
      </w:r>
    </w:p>
    <w:p w14:paraId="5DC65CF9">
      <w:pPr>
        <w:pStyle w:val="2"/>
      </w:pPr>
      <w:bookmarkStart w:id="33" w:name="_Toc194590193"/>
      <w:r>
        <w:rPr>
          <w:rFonts w:hint="eastAsia"/>
        </w:rPr>
        <w:t>六、</w:t>
      </w:r>
      <w:r>
        <w:t>知识产权说明</w:t>
      </w:r>
      <w:bookmarkEnd w:id="33"/>
      <w:r>
        <w:t xml:space="preserve"> </w:t>
      </w:r>
    </w:p>
    <w:p w14:paraId="249587D5">
      <w:pPr>
        <w:spacing w:line="300" w:lineRule="auto"/>
        <w:ind w:firstLine="560" w:firstLineChars="200"/>
        <w:rPr>
          <w:rFonts w:hint="eastAsia" w:ascii="仿宋" w:hAnsi="仿宋" w:eastAsia="仿宋"/>
          <w:bCs/>
          <w:sz w:val="28"/>
          <w:szCs w:val="28"/>
        </w:rPr>
      </w:pPr>
      <w:r>
        <w:rPr>
          <w:rFonts w:ascii="仿宋" w:hAnsi="仿宋" w:eastAsia="仿宋"/>
          <w:bCs/>
          <w:sz w:val="28"/>
          <w:szCs w:val="28"/>
        </w:rPr>
        <w:t xml:space="preserve">无。 </w:t>
      </w:r>
    </w:p>
    <w:p w14:paraId="0372AC91">
      <w:pPr>
        <w:pStyle w:val="2"/>
      </w:pPr>
      <w:bookmarkStart w:id="34" w:name="_Toc194590194"/>
      <w:r>
        <w:rPr>
          <w:rFonts w:hint="eastAsia"/>
        </w:rPr>
        <w:t>七、</w:t>
      </w:r>
      <w:r>
        <w:t>重大意见分歧的处理</w:t>
      </w:r>
      <w:bookmarkEnd w:id="34"/>
      <w:r>
        <w:t xml:space="preserve"> </w:t>
      </w:r>
    </w:p>
    <w:p w14:paraId="731F4EC0">
      <w:pPr>
        <w:spacing w:line="300" w:lineRule="auto"/>
        <w:ind w:firstLine="560" w:firstLineChars="200"/>
        <w:rPr>
          <w:rFonts w:hint="eastAsia" w:ascii="仿宋" w:hAnsi="仿宋" w:eastAsia="仿宋"/>
          <w:bCs/>
          <w:sz w:val="28"/>
          <w:szCs w:val="28"/>
        </w:rPr>
      </w:pPr>
      <w:r>
        <w:rPr>
          <w:rFonts w:ascii="仿宋" w:hAnsi="仿宋" w:eastAsia="仿宋"/>
          <w:bCs/>
          <w:sz w:val="28"/>
          <w:szCs w:val="28"/>
        </w:rPr>
        <w:t xml:space="preserve">无。 </w:t>
      </w:r>
    </w:p>
    <w:p w14:paraId="1D627689">
      <w:pPr>
        <w:pStyle w:val="2"/>
      </w:pPr>
      <w:bookmarkStart w:id="35" w:name="_Toc194590195"/>
      <w:r>
        <w:rPr>
          <w:rFonts w:hint="eastAsia"/>
        </w:rPr>
        <w:t>八、</w:t>
      </w:r>
      <w:r>
        <w:t>其他应说明的事项</w:t>
      </w:r>
      <w:bookmarkEnd w:id="35"/>
      <w:r>
        <w:t xml:space="preserve"> </w:t>
      </w:r>
    </w:p>
    <w:p w14:paraId="70804CD5">
      <w:pPr>
        <w:spacing w:line="300" w:lineRule="auto"/>
        <w:ind w:firstLine="560" w:firstLineChars="200"/>
        <w:rPr>
          <w:rFonts w:hint="eastAsia" w:ascii="仿宋" w:hAnsi="仿宋" w:eastAsia="仿宋"/>
          <w:bCs/>
          <w:sz w:val="28"/>
          <w:szCs w:val="28"/>
        </w:rPr>
      </w:pPr>
      <w:r>
        <w:rPr>
          <w:rFonts w:ascii="仿宋" w:hAnsi="仿宋" w:eastAsia="仿宋"/>
          <w:bCs/>
          <w:sz w:val="28"/>
          <w:szCs w:val="28"/>
        </w:rPr>
        <w:t>无。</w:t>
      </w:r>
    </w:p>
    <w:sectPr>
      <w:pgSz w:w="11906" w:h="16838"/>
      <w:pgMar w:top="1440" w:right="1797" w:bottom="1440" w:left="1797" w:header="851" w:footer="992" w:gutter="0"/>
      <w:cols w:space="720"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华文楷体">
    <w:panose1 w:val="02010600040101010101"/>
    <w:charset w:val="86"/>
    <w:family w:val="auto"/>
    <w:pitch w:val="default"/>
    <w:sig w:usb0="00000287" w:usb1="080F0000" w:usb2="00000000" w:usb3="00000000" w:csb0="0004009F" w:csb1="DFD7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1D5769">
    <w:pPr>
      <w:pStyle w:val="21"/>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33387573"/>
    </w:sdtPr>
    <w:sdtContent>
      <w:p w14:paraId="416AAE16">
        <w:pPr>
          <w:pStyle w:val="21"/>
          <w:jc w:val="center"/>
        </w:pPr>
        <w:r>
          <w:fldChar w:fldCharType="begin"/>
        </w:r>
        <w:r>
          <w:instrText xml:space="preserve">PAGE   \* MERGEFORMAT</w:instrText>
        </w:r>
        <w:r>
          <w:fldChar w:fldCharType="separate"/>
        </w:r>
        <w:r>
          <w:rPr>
            <w:lang w:val="zh-CN"/>
          </w:rPr>
          <w:t>I</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76492939"/>
      <w:showingPlcHdr/>
    </w:sdtPr>
    <w:sdtContent>
      <w:p w14:paraId="4664D030">
        <w:pPr>
          <w:pStyle w:val="21"/>
          <w:jc w:val="center"/>
        </w:pPr>
        <w:r>
          <w:t xml:space="preserve">     </w:t>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68692200"/>
    </w:sdtPr>
    <w:sdtContent>
      <w:p w14:paraId="502B6845">
        <w:pPr>
          <w:pStyle w:val="21"/>
          <w:jc w:val="center"/>
        </w:pPr>
        <w:r>
          <w:fldChar w:fldCharType="begin"/>
        </w:r>
        <w:r>
          <w:instrText xml:space="preserve">PAGE   \* MERGEFORMAT</w:instrText>
        </w:r>
        <w:r>
          <w:fldChar w:fldCharType="separate"/>
        </w:r>
        <w:r>
          <w:rPr>
            <w:lang w:val="zh-CN"/>
          </w:rPr>
          <w:t>1</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DA6E35">
    <w:pPr>
      <w:pStyle w:val="17"/>
      <w:spacing w:after="0" w:line="360" w:lineRule="auto"/>
      <w:ind w:left="0"/>
      <w:jc w:val="center"/>
      <w:rPr>
        <w:sz w:val="20"/>
        <w:szCs w:val="20"/>
      </w:rPr>
    </w:pPr>
    <w:r>
      <w:rPr>
        <w:sz w:val="20"/>
        <w:szCs w:val="20"/>
      </w:rPr>
      <w:fldChar w:fldCharType="begin"/>
    </w:r>
    <w:r>
      <w:rPr>
        <w:sz w:val="20"/>
        <w:szCs w:val="20"/>
      </w:rPr>
      <w:instrText xml:space="preserve">PAGE   \* MERGEFORMAT</w:instrText>
    </w:r>
    <w:r>
      <w:rPr>
        <w:sz w:val="20"/>
        <w:szCs w:val="20"/>
      </w:rPr>
      <w:fldChar w:fldCharType="separate"/>
    </w:r>
    <w:r>
      <w:rPr>
        <w:sz w:val="20"/>
        <w:szCs w:val="20"/>
      </w:rPr>
      <w:t>26</w:t>
    </w:r>
    <w:r>
      <w:rPr>
        <w:sz w:val="20"/>
        <w:szCs w:val="20"/>
      </w:rPr>
      <w:fldChar w:fldCharType="end"/>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DDE2B46"/>
    <w:multiLevelType w:val="multilevel"/>
    <w:tmpl w:val="0DDE2B46"/>
    <w:lvl w:ilvl="0" w:tentative="0">
      <w:start w:val="1"/>
      <w:numFmt w:val="lowerLetter"/>
      <w:suff w:val="nothing"/>
      <w:lvlText w:val="%1   "/>
      <w:lvlJc w:val="left"/>
      <w:pPr>
        <w:ind w:left="544" w:hanging="181"/>
      </w:pPr>
      <w:rPr>
        <w:rFonts w:hint="eastAsia" w:asci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1">
    <w:nsid w:val="646260FA"/>
    <w:multiLevelType w:val="multilevel"/>
    <w:tmpl w:val="646260FA"/>
    <w:lvl w:ilvl="0" w:tentative="0">
      <w:start w:val="1"/>
      <w:numFmt w:val="decimal"/>
      <w:pStyle w:val="76"/>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drawingGridHorizontalSpacing w:val="105"/>
  <w:drawingGridVerticalSpacing w:val="156"/>
  <w:displayHorizontalDrawingGridEvery w:val="2"/>
  <w:displayVerticalDrawingGridEvery w:val="2"/>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mFjYTM2ZTY2ZTQyZGY2ZDI5ODg5NGFhNzZiNGE5NWUifQ=="/>
  </w:docVars>
  <w:rsids>
    <w:rsidRoot w:val="00172A27"/>
    <w:rsid w:val="0000050A"/>
    <w:rsid w:val="00000552"/>
    <w:rsid w:val="00000B97"/>
    <w:rsid w:val="00001370"/>
    <w:rsid w:val="00001A93"/>
    <w:rsid w:val="00001D77"/>
    <w:rsid w:val="000020A9"/>
    <w:rsid w:val="00002439"/>
    <w:rsid w:val="00003237"/>
    <w:rsid w:val="000033EA"/>
    <w:rsid w:val="000034EB"/>
    <w:rsid w:val="000039A0"/>
    <w:rsid w:val="00003BEC"/>
    <w:rsid w:val="00003D53"/>
    <w:rsid w:val="000042B4"/>
    <w:rsid w:val="00005286"/>
    <w:rsid w:val="00005607"/>
    <w:rsid w:val="00005C38"/>
    <w:rsid w:val="00005D70"/>
    <w:rsid w:val="0000614D"/>
    <w:rsid w:val="00007043"/>
    <w:rsid w:val="000100AE"/>
    <w:rsid w:val="0001027C"/>
    <w:rsid w:val="0001167C"/>
    <w:rsid w:val="00011E7F"/>
    <w:rsid w:val="000122E1"/>
    <w:rsid w:val="000122EA"/>
    <w:rsid w:val="00012F0C"/>
    <w:rsid w:val="00013C42"/>
    <w:rsid w:val="000145A9"/>
    <w:rsid w:val="00014853"/>
    <w:rsid w:val="00016C31"/>
    <w:rsid w:val="000170B0"/>
    <w:rsid w:val="00020930"/>
    <w:rsid w:val="000209C8"/>
    <w:rsid w:val="0002150D"/>
    <w:rsid w:val="00022AB6"/>
    <w:rsid w:val="00022DE2"/>
    <w:rsid w:val="00023B30"/>
    <w:rsid w:val="00023BFE"/>
    <w:rsid w:val="000240B5"/>
    <w:rsid w:val="00024384"/>
    <w:rsid w:val="00025638"/>
    <w:rsid w:val="00025B0C"/>
    <w:rsid w:val="00026035"/>
    <w:rsid w:val="00026170"/>
    <w:rsid w:val="00026F4F"/>
    <w:rsid w:val="000277F1"/>
    <w:rsid w:val="0002798A"/>
    <w:rsid w:val="0002798C"/>
    <w:rsid w:val="00027ED6"/>
    <w:rsid w:val="00030421"/>
    <w:rsid w:val="00030505"/>
    <w:rsid w:val="00030CE8"/>
    <w:rsid w:val="00030EC5"/>
    <w:rsid w:val="00031189"/>
    <w:rsid w:val="00031965"/>
    <w:rsid w:val="000327F8"/>
    <w:rsid w:val="00032F8A"/>
    <w:rsid w:val="00033068"/>
    <w:rsid w:val="0003332F"/>
    <w:rsid w:val="00034318"/>
    <w:rsid w:val="000345B5"/>
    <w:rsid w:val="0003499B"/>
    <w:rsid w:val="00034F77"/>
    <w:rsid w:val="00035038"/>
    <w:rsid w:val="00035598"/>
    <w:rsid w:val="00037C34"/>
    <w:rsid w:val="00037D86"/>
    <w:rsid w:val="000401B3"/>
    <w:rsid w:val="000405A9"/>
    <w:rsid w:val="00040692"/>
    <w:rsid w:val="00040F11"/>
    <w:rsid w:val="000423AB"/>
    <w:rsid w:val="000423DC"/>
    <w:rsid w:val="00042CF7"/>
    <w:rsid w:val="00043411"/>
    <w:rsid w:val="000444EF"/>
    <w:rsid w:val="000446B8"/>
    <w:rsid w:val="000447A0"/>
    <w:rsid w:val="0004499B"/>
    <w:rsid w:val="00044A3B"/>
    <w:rsid w:val="00044A7B"/>
    <w:rsid w:val="00044F5A"/>
    <w:rsid w:val="00045E9D"/>
    <w:rsid w:val="00046147"/>
    <w:rsid w:val="000472CD"/>
    <w:rsid w:val="000475C0"/>
    <w:rsid w:val="0005136D"/>
    <w:rsid w:val="00051482"/>
    <w:rsid w:val="0005168F"/>
    <w:rsid w:val="0005323D"/>
    <w:rsid w:val="00053E28"/>
    <w:rsid w:val="00053E68"/>
    <w:rsid w:val="00054457"/>
    <w:rsid w:val="00054B2B"/>
    <w:rsid w:val="000558B1"/>
    <w:rsid w:val="00055CFF"/>
    <w:rsid w:val="00057200"/>
    <w:rsid w:val="00057ADE"/>
    <w:rsid w:val="000604E8"/>
    <w:rsid w:val="00060931"/>
    <w:rsid w:val="00060B93"/>
    <w:rsid w:val="00060C54"/>
    <w:rsid w:val="0006114C"/>
    <w:rsid w:val="000613BA"/>
    <w:rsid w:val="00061AA8"/>
    <w:rsid w:val="000628A3"/>
    <w:rsid w:val="00063557"/>
    <w:rsid w:val="00063A1F"/>
    <w:rsid w:val="0006437A"/>
    <w:rsid w:val="00064448"/>
    <w:rsid w:val="00064D62"/>
    <w:rsid w:val="00066099"/>
    <w:rsid w:val="00067261"/>
    <w:rsid w:val="00067D5E"/>
    <w:rsid w:val="00070D2D"/>
    <w:rsid w:val="00070E60"/>
    <w:rsid w:val="000713C4"/>
    <w:rsid w:val="000715EE"/>
    <w:rsid w:val="00071D9C"/>
    <w:rsid w:val="00071EA2"/>
    <w:rsid w:val="0007371A"/>
    <w:rsid w:val="000740DD"/>
    <w:rsid w:val="000743D6"/>
    <w:rsid w:val="00074412"/>
    <w:rsid w:val="000745E5"/>
    <w:rsid w:val="00074DD4"/>
    <w:rsid w:val="000752A8"/>
    <w:rsid w:val="00075831"/>
    <w:rsid w:val="00075FF0"/>
    <w:rsid w:val="00076015"/>
    <w:rsid w:val="000762F6"/>
    <w:rsid w:val="00076653"/>
    <w:rsid w:val="00076C33"/>
    <w:rsid w:val="000771BE"/>
    <w:rsid w:val="000801C4"/>
    <w:rsid w:val="0008049D"/>
    <w:rsid w:val="0008096F"/>
    <w:rsid w:val="00080B50"/>
    <w:rsid w:val="0008116B"/>
    <w:rsid w:val="00082920"/>
    <w:rsid w:val="00082C71"/>
    <w:rsid w:val="0008388A"/>
    <w:rsid w:val="0008431F"/>
    <w:rsid w:val="0008457A"/>
    <w:rsid w:val="000847C7"/>
    <w:rsid w:val="00084E90"/>
    <w:rsid w:val="00085B45"/>
    <w:rsid w:val="00085DC7"/>
    <w:rsid w:val="00086427"/>
    <w:rsid w:val="0008673A"/>
    <w:rsid w:val="00086BD8"/>
    <w:rsid w:val="0008745A"/>
    <w:rsid w:val="000875AE"/>
    <w:rsid w:val="000877D6"/>
    <w:rsid w:val="00087BE6"/>
    <w:rsid w:val="0009054C"/>
    <w:rsid w:val="00090717"/>
    <w:rsid w:val="00090970"/>
    <w:rsid w:val="00090D21"/>
    <w:rsid w:val="0009216B"/>
    <w:rsid w:val="000922AE"/>
    <w:rsid w:val="000925B2"/>
    <w:rsid w:val="0009263E"/>
    <w:rsid w:val="0009353C"/>
    <w:rsid w:val="00093881"/>
    <w:rsid w:val="00093D2D"/>
    <w:rsid w:val="00093DA0"/>
    <w:rsid w:val="00093E54"/>
    <w:rsid w:val="0009437C"/>
    <w:rsid w:val="000946B4"/>
    <w:rsid w:val="00094969"/>
    <w:rsid w:val="000950F6"/>
    <w:rsid w:val="00095610"/>
    <w:rsid w:val="0009650D"/>
    <w:rsid w:val="00096C19"/>
    <w:rsid w:val="00097620"/>
    <w:rsid w:val="00097917"/>
    <w:rsid w:val="000A0287"/>
    <w:rsid w:val="000A08D3"/>
    <w:rsid w:val="000A0CD7"/>
    <w:rsid w:val="000A0FAD"/>
    <w:rsid w:val="000A14B6"/>
    <w:rsid w:val="000A192E"/>
    <w:rsid w:val="000A1DDA"/>
    <w:rsid w:val="000A2365"/>
    <w:rsid w:val="000A262B"/>
    <w:rsid w:val="000A3E83"/>
    <w:rsid w:val="000A4D1D"/>
    <w:rsid w:val="000A5039"/>
    <w:rsid w:val="000A5FA6"/>
    <w:rsid w:val="000A6043"/>
    <w:rsid w:val="000A61E4"/>
    <w:rsid w:val="000A6468"/>
    <w:rsid w:val="000A6892"/>
    <w:rsid w:val="000A68BF"/>
    <w:rsid w:val="000A78D6"/>
    <w:rsid w:val="000A7BA6"/>
    <w:rsid w:val="000B00FC"/>
    <w:rsid w:val="000B0486"/>
    <w:rsid w:val="000B090F"/>
    <w:rsid w:val="000B0CF4"/>
    <w:rsid w:val="000B1BBC"/>
    <w:rsid w:val="000B1C51"/>
    <w:rsid w:val="000B30D5"/>
    <w:rsid w:val="000B3657"/>
    <w:rsid w:val="000B3797"/>
    <w:rsid w:val="000B38EE"/>
    <w:rsid w:val="000B3E28"/>
    <w:rsid w:val="000B3EFC"/>
    <w:rsid w:val="000B42F2"/>
    <w:rsid w:val="000B4435"/>
    <w:rsid w:val="000B469A"/>
    <w:rsid w:val="000B5BC4"/>
    <w:rsid w:val="000B62AD"/>
    <w:rsid w:val="000B7196"/>
    <w:rsid w:val="000B7B48"/>
    <w:rsid w:val="000C02A3"/>
    <w:rsid w:val="000C0EC2"/>
    <w:rsid w:val="000C0F08"/>
    <w:rsid w:val="000C2237"/>
    <w:rsid w:val="000C2F78"/>
    <w:rsid w:val="000C3BED"/>
    <w:rsid w:val="000C4502"/>
    <w:rsid w:val="000C4E71"/>
    <w:rsid w:val="000C4E86"/>
    <w:rsid w:val="000C5A01"/>
    <w:rsid w:val="000C5BD7"/>
    <w:rsid w:val="000C5E40"/>
    <w:rsid w:val="000C62A7"/>
    <w:rsid w:val="000C6A3B"/>
    <w:rsid w:val="000C7199"/>
    <w:rsid w:val="000D0CE1"/>
    <w:rsid w:val="000D0EB6"/>
    <w:rsid w:val="000D0EEF"/>
    <w:rsid w:val="000D18FF"/>
    <w:rsid w:val="000D1AD5"/>
    <w:rsid w:val="000D1D5B"/>
    <w:rsid w:val="000D22F2"/>
    <w:rsid w:val="000D3136"/>
    <w:rsid w:val="000D3AD5"/>
    <w:rsid w:val="000D423C"/>
    <w:rsid w:val="000D4B5F"/>
    <w:rsid w:val="000D646B"/>
    <w:rsid w:val="000D6E0A"/>
    <w:rsid w:val="000D7164"/>
    <w:rsid w:val="000E01FB"/>
    <w:rsid w:val="000E02E8"/>
    <w:rsid w:val="000E0829"/>
    <w:rsid w:val="000E0BFB"/>
    <w:rsid w:val="000E0EBD"/>
    <w:rsid w:val="000E0EE5"/>
    <w:rsid w:val="000E17FC"/>
    <w:rsid w:val="000E1986"/>
    <w:rsid w:val="000E2D31"/>
    <w:rsid w:val="000E4677"/>
    <w:rsid w:val="000E4B3E"/>
    <w:rsid w:val="000E5545"/>
    <w:rsid w:val="000E5708"/>
    <w:rsid w:val="000E5C1A"/>
    <w:rsid w:val="000E5D3B"/>
    <w:rsid w:val="000E5DB7"/>
    <w:rsid w:val="000E7174"/>
    <w:rsid w:val="000E7C4E"/>
    <w:rsid w:val="000E7D76"/>
    <w:rsid w:val="000F0016"/>
    <w:rsid w:val="000F0364"/>
    <w:rsid w:val="000F079A"/>
    <w:rsid w:val="000F1D5B"/>
    <w:rsid w:val="000F2881"/>
    <w:rsid w:val="000F402B"/>
    <w:rsid w:val="000F41B1"/>
    <w:rsid w:val="000F4DCC"/>
    <w:rsid w:val="000F4EAB"/>
    <w:rsid w:val="000F58F2"/>
    <w:rsid w:val="000F5DC2"/>
    <w:rsid w:val="000F68DE"/>
    <w:rsid w:val="000F6E40"/>
    <w:rsid w:val="000F7DFA"/>
    <w:rsid w:val="0010031F"/>
    <w:rsid w:val="001015D2"/>
    <w:rsid w:val="00101A60"/>
    <w:rsid w:val="00101B42"/>
    <w:rsid w:val="00101FE7"/>
    <w:rsid w:val="00101FF2"/>
    <w:rsid w:val="00103A8E"/>
    <w:rsid w:val="001040B9"/>
    <w:rsid w:val="00104C5F"/>
    <w:rsid w:val="00105238"/>
    <w:rsid w:val="00105EAD"/>
    <w:rsid w:val="0010624F"/>
    <w:rsid w:val="001074BB"/>
    <w:rsid w:val="001077F1"/>
    <w:rsid w:val="00110A00"/>
    <w:rsid w:val="00110CB6"/>
    <w:rsid w:val="00110D7A"/>
    <w:rsid w:val="00110DD0"/>
    <w:rsid w:val="0011135A"/>
    <w:rsid w:val="00111EA9"/>
    <w:rsid w:val="001122A5"/>
    <w:rsid w:val="00113089"/>
    <w:rsid w:val="001138AA"/>
    <w:rsid w:val="00114C0E"/>
    <w:rsid w:val="00116A95"/>
    <w:rsid w:val="001177F8"/>
    <w:rsid w:val="00120682"/>
    <w:rsid w:val="00120FC3"/>
    <w:rsid w:val="001219AB"/>
    <w:rsid w:val="00122A10"/>
    <w:rsid w:val="001232C8"/>
    <w:rsid w:val="00123F77"/>
    <w:rsid w:val="0012401B"/>
    <w:rsid w:val="00125CF5"/>
    <w:rsid w:val="00125E54"/>
    <w:rsid w:val="0012681F"/>
    <w:rsid w:val="00126F43"/>
    <w:rsid w:val="0012729E"/>
    <w:rsid w:val="00130066"/>
    <w:rsid w:val="00130088"/>
    <w:rsid w:val="00130D6E"/>
    <w:rsid w:val="00130F0C"/>
    <w:rsid w:val="00131C76"/>
    <w:rsid w:val="001323D3"/>
    <w:rsid w:val="00132B7C"/>
    <w:rsid w:val="00133028"/>
    <w:rsid w:val="0013303C"/>
    <w:rsid w:val="00136364"/>
    <w:rsid w:val="00136BBF"/>
    <w:rsid w:val="00137B7F"/>
    <w:rsid w:val="00140788"/>
    <w:rsid w:val="00140BB0"/>
    <w:rsid w:val="00140E31"/>
    <w:rsid w:val="0014297A"/>
    <w:rsid w:val="001435D8"/>
    <w:rsid w:val="00143904"/>
    <w:rsid w:val="0014393F"/>
    <w:rsid w:val="00143A2C"/>
    <w:rsid w:val="00143A3B"/>
    <w:rsid w:val="00144B8C"/>
    <w:rsid w:val="00145F0B"/>
    <w:rsid w:val="00146FB6"/>
    <w:rsid w:val="00147385"/>
    <w:rsid w:val="00147480"/>
    <w:rsid w:val="0014776C"/>
    <w:rsid w:val="0014791F"/>
    <w:rsid w:val="001513AD"/>
    <w:rsid w:val="001517AF"/>
    <w:rsid w:val="001525DE"/>
    <w:rsid w:val="0015307E"/>
    <w:rsid w:val="001535E8"/>
    <w:rsid w:val="001537AE"/>
    <w:rsid w:val="001541D1"/>
    <w:rsid w:val="00154488"/>
    <w:rsid w:val="00154BCC"/>
    <w:rsid w:val="00155129"/>
    <w:rsid w:val="001552AB"/>
    <w:rsid w:val="001554ED"/>
    <w:rsid w:val="00155880"/>
    <w:rsid w:val="00156A18"/>
    <w:rsid w:val="00156CC0"/>
    <w:rsid w:val="00157D83"/>
    <w:rsid w:val="00157E8F"/>
    <w:rsid w:val="00157ED3"/>
    <w:rsid w:val="00160A9B"/>
    <w:rsid w:val="00161075"/>
    <w:rsid w:val="001612EC"/>
    <w:rsid w:val="00162051"/>
    <w:rsid w:val="00162968"/>
    <w:rsid w:val="00162DE0"/>
    <w:rsid w:val="0016346E"/>
    <w:rsid w:val="00164AF2"/>
    <w:rsid w:val="00164EFD"/>
    <w:rsid w:val="00165369"/>
    <w:rsid w:val="00165E5F"/>
    <w:rsid w:val="00165F4C"/>
    <w:rsid w:val="00167CD8"/>
    <w:rsid w:val="00170CBA"/>
    <w:rsid w:val="00172A27"/>
    <w:rsid w:val="001736A1"/>
    <w:rsid w:val="0017432F"/>
    <w:rsid w:val="00174DEC"/>
    <w:rsid w:val="001752D0"/>
    <w:rsid w:val="001755D2"/>
    <w:rsid w:val="001758D8"/>
    <w:rsid w:val="00175D82"/>
    <w:rsid w:val="00175EDD"/>
    <w:rsid w:val="001773C7"/>
    <w:rsid w:val="00177683"/>
    <w:rsid w:val="00177C28"/>
    <w:rsid w:val="00177C4A"/>
    <w:rsid w:val="0018014A"/>
    <w:rsid w:val="001809E3"/>
    <w:rsid w:val="00180A20"/>
    <w:rsid w:val="00180C3A"/>
    <w:rsid w:val="0018186B"/>
    <w:rsid w:val="00181F5A"/>
    <w:rsid w:val="001825C0"/>
    <w:rsid w:val="001827CC"/>
    <w:rsid w:val="00183070"/>
    <w:rsid w:val="00183544"/>
    <w:rsid w:val="00184869"/>
    <w:rsid w:val="00184D20"/>
    <w:rsid w:val="00186701"/>
    <w:rsid w:val="00190905"/>
    <w:rsid w:val="00190AA8"/>
    <w:rsid w:val="00190AB5"/>
    <w:rsid w:val="00191396"/>
    <w:rsid w:val="00192305"/>
    <w:rsid w:val="001925F1"/>
    <w:rsid w:val="001928B9"/>
    <w:rsid w:val="00193CE4"/>
    <w:rsid w:val="00193E41"/>
    <w:rsid w:val="00194EAB"/>
    <w:rsid w:val="00195DF3"/>
    <w:rsid w:val="00195EC8"/>
    <w:rsid w:val="00196533"/>
    <w:rsid w:val="00197E77"/>
    <w:rsid w:val="001A12A9"/>
    <w:rsid w:val="001A168D"/>
    <w:rsid w:val="001A17F7"/>
    <w:rsid w:val="001A1953"/>
    <w:rsid w:val="001A2675"/>
    <w:rsid w:val="001A2729"/>
    <w:rsid w:val="001A3665"/>
    <w:rsid w:val="001A3CD4"/>
    <w:rsid w:val="001A4299"/>
    <w:rsid w:val="001A4581"/>
    <w:rsid w:val="001A4ADF"/>
    <w:rsid w:val="001A5051"/>
    <w:rsid w:val="001A51BB"/>
    <w:rsid w:val="001A5E78"/>
    <w:rsid w:val="001A705A"/>
    <w:rsid w:val="001B01B8"/>
    <w:rsid w:val="001B12A0"/>
    <w:rsid w:val="001B1E50"/>
    <w:rsid w:val="001B2035"/>
    <w:rsid w:val="001B269A"/>
    <w:rsid w:val="001B2C7D"/>
    <w:rsid w:val="001B2D69"/>
    <w:rsid w:val="001B2D6A"/>
    <w:rsid w:val="001B3BAD"/>
    <w:rsid w:val="001B4181"/>
    <w:rsid w:val="001B49FE"/>
    <w:rsid w:val="001B4CBA"/>
    <w:rsid w:val="001B4DDD"/>
    <w:rsid w:val="001B54A7"/>
    <w:rsid w:val="001B5819"/>
    <w:rsid w:val="001B639B"/>
    <w:rsid w:val="001B698E"/>
    <w:rsid w:val="001B6BC1"/>
    <w:rsid w:val="001B71CE"/>
    <w:rsid w:val="001C07B5"/>
    <w:rsid w:val="001C0B56"/>
    <w:rsid w:val="001C0ED8"/>
    <w:rsid w:val="001C1420"/>
    <w:rsid w:val="001C1615"/>
    <w:rsid w:val="001C1AA1"/>
    <w:rsid w:val="001C3911"/>
    <w:rsid w:val="001C4657"/>
    <w:rsid w:val="001C4B22"/>
    <w:rsid w:val="001C52E8"/>
    <w:rsid w:val="001C5E9D"/>
    <w:rsid w:val="001C7166"/>
    <w:rsid w:val="001C7246"/>
    <w:rsid w:val="001C72FE"/>
    <w:rsid w:val="001C753C"/>
    <w:rsid w:val="001C75CC"/>
    <w:rsid w:val="001D0198"/>
    <w:rsid w:val="001D1934"/>
    <w:rsid w:val="001D3F01"/>
    <w:rsid w:val="001D5230"/>
    <w:rsid w:val="001D784A"/>
    <w:rsid w:val="001D7F08"/>
    <w:rsid w:val="001E1268"/>
    <w:rsid w:val="001E162D"/>
    <w:rsid w:val="001E25EB"/>
    <w:rsid w:val="001E297B"/>
    <w:rsid w:val="001E2C1B"/>
    <w:rsid w:val="001E2E22"/>
    <w:rsid w:val="001E3E51"/>
    <w:rsid w:val="001E4B0E"/>
    <w:rsid w:val="001E4D8E"/>
    <w:rsid w:val="001E5577"/>
    <w:rsid w:val="001E5842"/>
    <w:rsid w:val="001E5A04"/>
    <w:rsid w:val="001E5D9A"/>
    <w:rsid w:val="001E5DE9"/>
    <w:rsid w:val="001E5EB5"/>
    <w:rsid w:val="001E6D5A"/>
    <w:rsid w:val="001E6D97"/>
    <w:rsid w:val="001E71E8"/>
    <w:rsid w:val="001F0F46"/>
    <w:rsid w:val="001F2305"/>
    <w:rsid w:val="001F2416"/>
    <w:rsid w:val="001F2CED"/>
    <w:rsid w:val="001F3ABA"/>
    <w:rsid w:val="001F3D06"/>
    <w:rsid w:val="001F44B6"/>
    <w:rsid w:val="001F4E97"/>
    <w:rsid w:val="001F5853"/>
    <w:rsid w:val="001F5BC0"/>
    <w:rsid w:val="001F6AAC"/>
    <w:rsid w:val="001F6AB5"/>
    <w:rsid w:val="00200600"/>
    <w:rsid w:val="00200D33"/>
    <w:rsid w:val="00200D66"/>
    <w:rsid w:val="00201113"/>
    <w:rsid w:val="00201CFD"/>
    <w:rsid w:val="002020BF"/>
    <w:rsid w:val="0020233D"/>
    <w:rsid w:val="00203099"/>
    <w:rsid w:val="0020368C"/>
    <w:rsid w:val="00204536"/>
    <w:rsid w:val="0020471C"/>
    <w:rsid w:val="00204E2A"/>
    <w:rsid w:val="00204EC4"/>
    <w:rsid w:val="00205E59"/>
    <w:rsid w:val="00206713"/>
    <w:rsid w:val="00206EBB"/>
    <w:rsid w:val="0020734C"/>
    <w:rsid w:val="0020738B"/>
    <w:rsid w:val="00207C6F"/>
    <w:rsid w:val="00207D70"/>
    <w:rsid w:val="0021107F"/>
    <w:rsid w:val="0021294A"/>
    <w:rsid w:val="00213418"/>
    <w:rsid w:val="00213506"/>
    <w:rsid w:val="00213A7A"/>
    <w:rsid w:val="002143C7"/>
    <w:rsid w:val="00214BA2"/>
    <w:rsid w:val="00214E4B"/>
    <w:rsid w:val="00215C05"/>
    <w:rsid w:val="002168DE"/>
    <w:rsid w:val="00220077"/>
    <w:rsid w:val="002207CC"/>
    <w:rsid w:val="00220C12"/>
    <w:rsid w:val="00221093"/>
    <w:rsid w:val="0022185B"/>
    <w:rsid w:val="00222230"/>
    <w:rsid w:val="00223039"/>
    <w:rsid w:val="0022363A"/>
    <w:rsid w:val="00223669"/>
    <w:rsid w:val="00224B1A"/>
    <w:rsid w:val="00225C83"/>
    <w:rsid w:val="00225F0E"/>
    <w:rsid w:val="00225FB2"/>
    <w:rsid w:val="0022607F"/>
    <w:rsid w:val="00226137"/>
    <w:rsid w:val="00226D49"/>
    <w:rsid w:val="00226F79"/>
    <w:rsid w:val="00227B65"/>
    <w:rsid w:val="002310D1"/>
    <w:rsid w:val="00232614"/>
    <w:rsid w:val="0023282F"/>
    <w:rsid w:val="002333C9"/>
    <w:rsid w:val="0023387B"/>
    <w:rsid w:val="00233D39"/>
    <w:rsid w:val="0023430B"/>
    <w:rsid w:val="002377D8"/>
    <w:rsid w:val="00237D9C"/>
    <w:rsid w:val="00240069"/>
    <w:rsid w:val="00241838"/>
    <w:rsid w:val="002427C3"/>
    <w:rsid w:val="00242C38"/>
    <w:rsid w:val="002441C4"/>
    <w:rsid w:val="00245596"/>
    <w:rsid w:val="00245B5B"/>
    <w:rsid w:val="00245D58"/>
    <w:rsid w:val="00245E45"/>
    <w:rsid w:val="00246635"/>
    <w:rsid w:val="00246BFC"/>
    <w:rsid w:val="00247C6F"/>
    <w:rsid w:val="00250BC3"/>
    <w:rsid w:val="00250C4E"/>
    <w:rsid w:val="00250ECE"/>
    <w:rsid w:val="002510E5"/>
    <w:rsid w:val="00251200"/>
    <w:rsid w:val="00252458"/>
    <w:rsid w:val="002528DE"/>
    <w:rsid w:val="00253157"/>
    <w:rsid w:val="0025350D"/>
    <w:rsid w:val="0025371F"/>
    <w:rsid w:val="0025386A"/>
    <w:rsid w:val="0025590E"/>
    <w:rsid w:val="002561D8"/>
    <w:rsid w:val="00256348"/>
    <w:rsid w:val="0025798B"/>
    <w:rsid w:val="00257AE0"/>
    <w:rsid w:val="00260F48"/>
    <w:rsid w:val="00261AE9"/>
    <w:rsid w:val="00261C6C"/>
    <w:rsid w:val="002625E7"/>
    <w:rsid w:val="00263391"/>
    <w:rsid w:val="00264269"/>
    <w:rsid w:val="00264C7A"/>
    <w:rsid w:val="0026566F"/>
    <w:rsid w:val="0026601B"/>
    <w:rsid w:val="00266404"/>
    <w:rsid w:val="00267266"/>
    <w:rsid w:val="0026752B"/>
    <w:rsid w:val="002722BE"/>
    <w:rsid w:val="0027319A"/>
    <w:rsid w:val="002735C4"/>
    <w:rsid w:val="00273AC9"/>
    <w:rsid w:val="00273CF5"/>
    <w:rsid w:val="002743A4"/>
    <w:rsid w:val="002749A5"/>
    <w:rsid w:val="00274E38"/>
    <w:rsid w:val="00274FE1"/>
    <w:rsid w:val="00275900"/>
    <w:rsid w:val="00275F84"/>
    <w:rsid w:val="00276074"/>
    <w:rsid w:val="00277B61"/>
    <w:rsid w:val="00280745"/>
    <w:rsid w:val="0028098C"/>
    <w:rsid w:val="00280BEF"/>
    <w:rsid w:val="00280ECF"/>
    <w:rsid w:val="0028136F"/>
    <w:rsid w:val="0028157C"/>
    <w:rsid w:val="00282A07"/>
    <w:rsid w:val="002839C7"/>
    <w:rsid w:val="00284257"/>
    <w:rsid w:val="00284731"/>
    <w:rsid w:val="0028511B"/>
    <w:rsid w:val="002852F7"/>
    <w:rsid w:val="00285923"/>
    <w:rsid w:val="00285F87"/>
    <w:rsid w:val="00286D03"/>
    <w:rsid w:val="00286F75"/>
    <w:rsid w:val="00286F99"/>
    <w:rsid w:val="00287607"/>
    <w:rsid w:val="00287F55"/>
    <w:rsid w:val="00290EEC"/>
    <w:rsid w:val="00291791"/>
    <w:rsid w:val="00292391"/>
    <w:rsid w:val="0029357F"/>
    <w:rsid w:val="0029377E"/>
    <w:rsid w:val="00293F41"/>
    <w:rsid w:val="00294C22"/>
    <w:rsid w:val="00294ECA"/>
    <w:rsid w:val="00294F58"/>
    <w:rsid w:val="00295284"/>
    <w:rsid w:val="00295F89"/>
    <w:rsid w:val="00296162"/>
    <w:rsid w:val="002961E9"/>
    <w:rsid w:val="00296335"/>
    <w:rsid w:val="002971D1"/>
    <w:rsid w:val="002A0117"/>
    <w:rsid w:val="002A0A1E"/>
    <w:rsid w:val="002A0C4E"/>
    <w:rsid w:val="002A1005"/>
    <w:rsid w:val="002A25AB"/>
    <w:rsid w:val="002A2B78"/>
    <w:rsid w:val="002A2D96"/>
    <w:rsid w:val="002A364A"/>
    <w:rsid w:val="002A422F"/>
    <w:rsid w:val="002A4440"/>
    <w:rsid w:val="002A5B53"/>
    <w:rsid w:val="002A6EC0"/>
    <w:rsid w:val="002A7B06"/>
    <w:rsid w:val="002A7CDB"/>
    <w:rsid w:val="002B075E"/>
    <w:rsid w:val="002B10FD"/>
    <w:rsid w:val="002B170C"/>
    <w:rsid w:val="002B2007"/>
    <w:rsid w:val="002B2481"/>
    <w:rsid w:val="002B28EA"/>
    <w:rsid w:val="002B30B0"/>
    <w:rsid w:val="002B361B"/>
    <w:rsid w:val="002B3CEC"/>
    <w:rsid w:val="002B4678"/>
    <w:rsid w:val="002B4A4B"/>
    <w:rsid w:val="002B5590"/>
    <w:rsid w:val="002B56BE"/>
    <w:rsid w:val="002B629C"/>
    <w:rsid w:val="002B6415"/>
    <w:rsid w:val="002B6729"/>
    <w:rsid w:val="002B6FAF"/>
    <w:rsid w:val="002B7B6B"/>
    <w:rsid w:val="002C058B"/>
    <w:rsid w:val="002C13CF"/>
    <w:rsid w:val="002C2205"/>
    <w:rsid w:val="002C22E6"/>
    <w:rsid w:val="002C2C32"/>
    <w:rsid w:val="002C2CA9"/>
    <w:rsid w:val="002C3088"/>
    <w:rsid w:val="002C32CD"/>
    <w:rsid w:val="002C4058"/>
    <w:rsid w:val="002C5190"/>
    <w:rsid w:val="002C52B3"/>
    <w:rsid w:val="002C586C"/>
    <w:rsid w:val="002C5939"/>
    <w:rsid w:val="002C5AB0"/>
    <w:rsid w:val="002C6B59"/>
    <w:rsid w:val="002C7A03"/>
    <w:rsid w:val="002C7FE2"/>
    <w:rsid w:val="002D0804"/>
    <w:rsid w:val="002D08C7"/>
    <w:rsid w:val="002D08FE"/>
    <w:rsid w:val="002D0D18"/>
    <w:rsid w:val="002D1266"/>
    <w:rsid w:val="002D1558"/>
    <w:rsid w:val="002D1B6E"/>
    <w:rsid w:val="002D2AF3"/>
    <w:rsid w:val="002D3471"/>
    <w:rsid w:val="002D4DC3"/>
    <w:rsid w:val="002D540D"/>
    <w:rsid w:val="002D5D62"/>
    <w:rsid w:val="002D5F69"/>
    <w:rsid w:val="002D6845"/>
    <w:rsid w:val="002D6FDD"/>
    <w:rsid w:val="002D706E"/>
    <w:rsid w:val="002D729E"/>
    <w:rsid w:val="002E035B"/>
    <w:rsid w:val="002E1196"/>
    <w:rsid w:val="002E2874"/>
    <w:rsid w:val="002E2949"/>
    <w:rsid w:val="002E30F7"/>
    <w:rsid w:val="002E395E"/>
    <w:rsid w:val="002E3D2D"/>
    <w:rsid w:val="002E433F"/>
    <w:rsid w:val="002E4881"/>
    <w:rsid w:val="002E4E06"/>
    <w:rsid w:val="002E5650"/>
    <w:rsid w:val="002E60F9"/>
    <w:rsid w:val="002E643E"/>
    <w:rsid w:val="002E6CDF"/>
    <w:rsid w:val="002E6E6E"/>
    <w:rsid w:val="002E738D"/>
    <w:rsid w:val="002E75FC"/>
    <w:rsid w:val="002E7E9B"/>
    <w:rsid w:val="002F0365"/>
    <w:rsid w:val="002F0578"/>
    <w:rsid w:val="002F0CE7"/>
    <w:rsid w:val="002F102D"/>
    <w:rsid w:val="002F1DBC"/>
    <w:rsid w:val="002F235D"/>
    <w:rsid w:val="002F2B9A"/>
    <w:rsid w:val="002F2EDB"/>
    <w:rsid w:val="002F40D9"/>
    <w:rsid w:val="002F459B"/>
    <w:rsid w:val="002F5C5E"/>
    <w:rsid w:val="002F706F"/>
    <w:rsid w:val="002F7206"/>
    <w:rsid w:val="002F7FD6"/>
    <w:rsid w:val="00300382"/>
    <w:rsid w:val="003006C8"/>
    <w:rsid w:val="003008F6"/>
    <w:rsid w:val="00301A3C"/>
    <w:rsid w:val="00301CF5"/>
    <w:rsid w:val="00302A4D"/>
    <w:rsid w:val="00303DD2"/>
    <w:rsid w:val="003042F5"/>
    <w:rsid w:val="0030592F"/>
    <w:rsid w:val="003060BC"/>
    <w:rsid w:val="00306D55"/>
    <w:rsid w:val="0030700A"/>
    <w:rsid w:val="0030771F"/>
    <w:rsid w:val="00310308"/>
    <w:rsid w:val="003105B2"/>
    <w:rsid w:val="00310AF6"/>
    <w:rsid w:val="00311DD7"/>
    <w:rsid w:val="00312438"/>
    <w:rsid w:val="003135B0"/>
    <w:rsid w:val="003168A3"/>
    <w:rsid w:val="0031764D"/>
    <w:rsid w:val="00320227"/>
    <w:rsid w:val="003206BF"/>
    <w:rsid w:val="00320936"/>
    <w:rsid w:val="00321291"/>
    <w:rsid w:val="00323B63"/>
    <w:rsid w:val="00323F18"/>
    <w:rsid w:val="00324154"/>
    <w:rsid w:val="00324856"/>
    <w:rsid w:val="0032574A"/>
    <w:rsid w:val="00325AFB"/>
    <w:rsid w:val="00325F75"/>
    <w:rsid w:val="00326137"/>
    <w:rsid w:val="00326203"/>
    <w:rsid w:val="0032639C"/>
    <w:rsid w:val="00326408"/>
    <w:rsid w:val="00326542"/>
    <w:rsid w:val="00327214"/>
    <w:rsid w:val="003279A9"/>
    <w:rsid w:val="00330203"/>
    <w:rsid w:val="00331010"/>
    <w:rsid w:val="0033110F"/>
    <w:rsid w:val="00331EE2"/>
    <w:rsid w:val="0033200F"/>
    <w:rsid w:val="003333F0"/>
    <w:rsid w:val="00333589"/>
    <w:rsid w:val="00333706"/>
    <w:rsid w:val="003339C5"/>
    <w:rsid w:val="00333C65"/>
    <w:rsid w:val="003340C2"/>
    <w:rsid w:val="00334972"/>
    <w:rsid w:val="00335B0C"/>
    <w:rsid w:val="003371E5"/>
    <w:rsid w:val="0033725B"/>
    <w:rsid w:val="00337C9E"/>
    <w:rsid w:val="003409C0"/>
    <w:rsid w:val="003412CD"/>
    <w:rsid w:val="00341DC8"/>
    <w:rsid w:val="0034231C"/>
    <w:rsid w:val="003426DD"/>
    <w:rsid w:val="00342815"/>
    <w:rsid w:val="00342A61"/>
    <w:rsid w:val="003431BC"/>
    <w:rsid w:val="00343AB8"/>
    <w:rsid w:val="00344655"/>
    <w:rsid w:val="0034530E"/>
    <w:rsid w:val="00346687"/>
    <w:rsid w:val="003469CE"/>
    <w:rsid w:val="00346A25"/>
    <w:rsid w:val="00347FC7"/>
    <w:rsid w:val="00350365"/>
    <w:rsid w:val="0035093B"/>
    <w:rsid w:val="00350B82"/>
    <w:rsid w:val="00351C4C"/>
    <w:rsid w:val="0035211E"/>
    <w:rsid w:val="00352F09"/>
    <w:rsid w:val="00353E98"/>
    <w:rsid w:val="003555E0"/>
    <w:rsid w:val="003558BD"/>
    <w:rsid w:val="00355CAE"/>
    <w:rsid w:val="00355D90"/>
    <w:rsid w:val="0035701E"/>
    <w:rsid w:val="003579BC"/>
    <w:rsid w:val="00357E09"/>
    <w:rsid w:val="0036102F"/>
    <w:rsid w:val="00361479"/>
    <w:rsid w:val="0036300E"/>
    <w:rsid w:val="00363703"/>
    <w:rsid w:val="0036390D"/>
    <w:rsid w:val="00363F47"/>
    <w:rsid w:val="00364B94"/>
    <w:rsid w:val="00364E1C"/>
    <w:rsid w:val="0036511F"/>
    <w:rsid w:val="00365CF1"/>
    <w:rsid w:val="003660BD"/>
    <w:rsid w:val="00366605"/>
    <w:rsid w:val="0036696F"/>
    <w:rsid w:val="003673D4"/>
    <w:rsid w:val="0037015E"/>
    <w:rsid w:val="003706AA"/>
    <w:rsid w:val="003713A0"/>
    <w:rsid w:val="00371659"/>
    <w:rsid w:val="00371985"/>
    <w:rsid w:val="00371E1F"/>
    <w:rsid w:val="003747AB"/>
    <w:rsid w:val="00374F18"/>
    <w:rsid w:val="00374FCA"/>
    <w:rsid w:val="0037571A"/>
    <w:rsid w:val="003758D5"/>
    <w:rsid w:val="003766EB"/>
    <w:rsid w:val="00377527"/>
    <w:rsid w:val="00377F9C"/>
    <w:rsid w:val="00380331"/>
    <w:rsid w:val="00380E89"/>
    <w:rsid w:val="003824DE"/>
    <w:rsid w:val="00382CBE"/>
    <w:rsid w:val="00383182"/>
    <w:rsid w:val="00383C06"/>
    <w:rsid w:val="00383E38"/>
    <w:rsid w:val="0038444E"/>
    <w:rsid w:val="00384836"/>
    <w:rsid w:val="00385597"/>
    <w:rsid w:val="00385A45"/>
    <w:rsid w:val="0038657D"/>
    <w:rsid w:val="003874A2"/>
    <w:rsid w:val="00387E5C"/>
    <w:rsid w:val="00391A16"/>
    <w:rsid w:val="003932D8"/>
    <w:rsid w:val="00393EA9"/>
    <w:rsid w:val="00394168"/>
    <w:rsid w:val="00394925"/>
    <w:rsid w:val="00394A50"/>
    <w:rsid w:val="003956FA"/>
    <w:rsid w:val="0039583C"/>
    <w:rsid w:val="00395FD4"/>
    <w:rsid w:val="0039605C"/>
    <w:rsid w:val="003969E7"/>
    <w:rsid w:val="003970D2"/>
    <w:rsid w:val="00397930"/>
    <w:rsid w:val="00397DB9"/>
    <w:rsid w:val="003A07E7"/>
    <w:rsid w:val="003A0AB4"/>
    <w:rsid w:val="003A1256"/>
    <w:rsid w:val="003A1317"/>
    <w:rsid w:val="003A1C74"/>
    <w:rsid w:val="003A2863"/>
    <w:rsid w:val="003A313B"/>
    <w:rsid w:val="003A3A93"/>
    <w:rsid w:val="003A53E8"/>
    <w:rsid w:val="003A5D85"/>
    <w:rsid w:val="003A5EB2"/>
    <w:rsid w:val="003A63DC"/>
    <w:rsid w:val="003A71BF"/>
    <w:rsid w:val="003B047A"/>
    <w:rsid w:val="003B0692"/>
    <w:rsid w:val="003B0E1D"/>
    <w:rsid w:val="003B1EDA"/>
    <w:rsid w:val="003B2BFA"/>
    <w:rsid w:val="003B3229"/>
    <w:rsid w:val="003B3740"/>
    <w:rsid w:val="003B3B2C"/>
    <w:rsid w:val="003B3D8D"/>
    <w:rsid w:val="003B4335"/>
    <w:rsid w:val="003B600C"/>
    <w:rsid w:val="003B66D6"/>
    <w:rsid w:val="003B6BBD"/>
    <w:rsid w:val="003B75AA"/>
    <w:rsid w:val="003B7A93"/>
    <w:rsid w:val="003B7CE4"/>
    <w:rsid w:val="003B7D24"/>
    <w:rsid w:val="003C001B"/>
    <w:rsid w:val="003C0113"/>
    <w:rsid w:val="003C0637"/>
    <w:rsid w:val="003C1256"/>
    <w:rsid w:val="003C162B"/>
    <w:rsid w:val="003C1C2F"/>
    <w:rsid w:val="003C28D5"/>
    <w:rsid w:val="003C2A10"/>
    <w:rsid w:val="003C2FF1"/>
    <w:rsid w:val="003C3704"/>
    <w:rsid w:val="003C4B9C"/>
    <w:rsid w:val="003C55D4"/>
    <w:rsid w:val="003C62BB"/>
    <w:rsid w:val="003C6A56"/>
    <w:rsid w:val="003C76FE"/>
    <w:rsid w:val="003C79FD"/>
    <w:rsid w:val="003D06C7"/>
    <w:rsid w:val="003D0D2E"/>
    <w:rsid w:val="003D0FB8"/>
    <w:rsid w:val="003D1701"/>
    <w:rsid w:val="003D29DE"/>
    <w:rsid w:val="003D2FF9"/>
    <w:rsid w:val="003D31BB"/>
    <w:rsid w:val="003D35BF"/>
    <w:rsid w:val="003D4713"/>
    <w:rsid w:val="003D5A17"/>
    <w:rsid w:val="003D6517"/>
    <w:rsid w:val="003D6A8D"/>
    <w:rsid w:val="003D72FE"/>
    <w:rsid w:val="003D7549"/>
    <w:rsid w:val="003E091F"/>
    <w:rsid w:val="003E175A"/>
    <w:rsid w:val="003E1BCA"/>
    <w:rsid w:val="003E2560"/>
    <w:rsid w:val="003E463D"/>
    <w:rsid w:val="003E49E4"/>
    <w:rsid w:val="003E4A64"/>
    <w:rsid w:val="003E59D9"/>
    <w:rsid w:val="003E65CA"/>
    <w:rsid w:val="003E71D6"/>
    <w:rsid w:val="003E7AEC"/>
    <w:rsid w:val="003E7B12"/>
    <w:rsid w:val="003E7F2F"/>
    <w:rsid w:val="003F0019"/>
    <w:rsid w:val="003F0682"/>
    <w:rsid w:val="003F15AE"/>
    <w:rsid w:val="003F200B"/>
    <w:rsid w:val="003F2109"/>
    <w:rsid w:val="003F2F38"/>
    <w:rsid w:val="003F3829"/>
    <w:rsid w:val="003F3C80"/>
    <w:rsid w:val="003F4F76"/>
    <w:rsid w:val="003F676D"/>
    <w:rsid w:val="003F708C"/>
    <w:rsid w:val="003F729D"/>
    <w:rsid w:val="003F73D6"/>
    <w:rsid w:val="003F743A"/>
    <w:rsid w:val="003F756E"/>
    <w:rsid w:val="003F7713"/>
    <w:rsid w:val="0040003A"/>
    <w:rsid w:val="00400494"/>
    <w:rsid w:val="004007FC"/>
    <w:rsid w:val="00400DAF"/>
    <w:rsid w:val="004013BD"/>
    <w:rsid w:val="0040182E"/>
    <w:rsid w:val="00402A5E"/>
    <w:rsid w:val="004034A7"/>
    <w:rsid w:val="004036E0"/>
    <w:rsid w:val="00403E2A"/>
    <w:rsid w:val="00404040"/>
    <w:rsid w:val="00404478"/>
    <w:rsid w:val="004049B7"/>
    <w:rsid w:val="0040647E"/>
    <w:rsid w:val="00406983"/>
    <w:rsid w:val="00406B55"/>
    <w:rsid w:val="004070DD"/>
    <w:rsid w:val="00407DF7"/>
    <w:rsid w:val="0041065A"/>
    <w:rsid w:val="00410845"/>
    <w:rsid w:val="00410D7A"/>
    <w:rsid w:val="00412713"/>
    <w:rsid w:val="0041284E"/>
    <w:rsid w:val="00412B04"/>
    <w:rsid w:val="004134DC"/>
    <w:rsid w:val="00414B2A"/>
    <w:rsid w:val="00414E2D"/>
    <w:rsid w:val="00415205"/>
    <w:rsid w:val="00415240"/>
    <w:rsid w:val="004153D8"/>
    <w:rsid w:val="00417661"/>
    <w:rsid w:val="00417E5C"/>
    <w:rsid w:val="00417E90"/>
    <w:rsid w:val="00417EC3"/>
    <w:rsid w:val="00420505"/>
    <w:rsid w:val="0042065E"/>
    <w:rsid w:val="0042132C"/>
    <w:rsid w:val="004223A5"/>
    <w:rsid w:val="004225DD"/>
    <w:rsid w:val="00422903"/>
    <w:rsid w:val="00422960"/>
    <w:rsid w:val="00422C22"/>
    <w:rsid w:val="00423083"/>
    <w:rsid w:val="00423C17"/>
    <w:rsid w:val="004250F0"/>
    <w:rsid w:val="00425FB0"/>
    <w:rsid w:val="00426649"/>
    <w:rsid w:val="00426A0E"/>
    <w:rsid w:val="004277D4"/>
    <w:rsid w:val="00427A75"/>
    <w:rsid w:val="00427D6F"/>
    <w:rsid w:val="00427E63"/>
    <w:rsid w:val="00431296"/>
    <w:rsid w:val="004316D9"/>
    <w:rsid w:val="00431E68"/>
    <w:rsid w:val="00432CEB"/>
    <w:rsid w:val="0043396C"/>
    <w:rsid w:val="00433D5E"/>
    <w:rsid w:val="00434F80"/>
    <w:rsid w:val="0043515C"/>
    <w:rsid w:val="00435548"/>
    <w:rsid w:val="00435959"/>
    <w:rsid w:val="00436094"/>
    <w:rsid w:val="00437492"/>
    <w:rsid w:val="00440067"/>
    <w:rsid w:val="00440423"/>
    <w:rsid w:val="00440DFB"/>
    <w:rsid w:val="00440F5A"/>
    <w:rsid w:val="00440F9F"/>
    <w:rsid w:val="0044133E"/>
    <w:rsid w:val="00442206"/>
    <w:rsid w:val="004426A1"/>
    <w:rsid w:val="004426E5"/>
    <w:rsid w:val="00443529"/>
    <w:rsid w:val="004444FE"/>
    <w:rsid w:val="00444CC7"/>
    <w:rsid w:val="004451E5"/>
    <w:rsid w:val="00445507"/>
    <w:rsid w:val="004455F5"/>
    <w:rsid w:val="00446434"/>
    <w:rsid w:val="004466A7"/>
    <w:rsid w:val="00447426"/>
    <w:rsid w:val="00447B15"/>
    <w:rsid w:val="00450150"/>
    <w:rsid w:val="00450516"/>
    <w:rsid w:val="004515D3"/>
    <w:rsid w:val="00452146"/>
    <w:rsid w:val="00452341"/>
    <w:rsid w:val="004524D8"/>
    <w:rsid w:val="004527DA"/>
    <w:rsid w:val="00452ADC"/>
    <w:rsid w:val="00453B98"/>
    <w:rsid w:val="004547CA"/>
    <w:rsid w:val="00454889"/>
    <w:rsid w:val="00455354"/>
    <w:rsid w:val="00455CC0"/>
    <w:rsid w:val="00456D44"/>
    <w:rsid w:val="004574DC"/>
    <w:rsid w:val="00460AFC"/>
    <w:rsid w:val="00460DC4"/>
    <w:rsid w:val="004615A8"/>
    <w:rsid w:val="00462374"/>
    <w:rsid w:val="00462966"/>
    <w:rsid w:val="00462D1C"/>
    <w:rsid w:val="00462E83"/>
    <w:rsid w:val="00462F47"/>
    <w:rsid w:val="00463142"/>
    <w:rsid w:val="00463273"/>
    <w:rsid w:val="0046352D"/>
    <w:rsid w:val="0046385E"/>
    <w:rsid w:val="004641F9"/>
    <w:rsid w:val="00465385"/>
    <w:rsid w:val="00465AF7"/>
    <w:rsid w:val="00465B32"/>
    <w:rsid w:val="004661CE"/>
    <w:rsid w:val="004670B2"/>
    <w:rsid w:val="0046725F"/>
    <w:rsid w:val="00467E8B"/>
    <w:rsid w:val="00470DA0"/>
    <w:rsid w:val="0047105D"/>
    <w:rsid w:val="00471146"/>
    <w:rsid w:val="0047168C"/>
    <w:rsid w:val="00471C25"/>
    <w:rsid w:val="00471E4E"/>
    <w:rsid w:val="004730E4"/>
    <w:rsid w:val="00473458"/>
    <w:rsid w:val="00473477"/>
    <w:rsid w:val="00473542"/>
    <w:rsid w:val="0047355E"/>
    <w:rsid w:val="0047398D"/>
    <w:rsid w:val="0047476E"/>
    <w:rsid w:val="00474FAB"/>
    <w:rsid w:val="0047531A"/>
    <w:rsid w:val="00477451"/>
    <w:rsid w:val="004819B4"/>
    <w:rsid w:val="00481AA7"/>
    <w:rsid w:val="0048249E"/>
    <w:rsid w:val="00482537"/>
    <w:rsid w:val="00483831"/>
    <w:rsid w:val="00483C2D"/>
    <w:rsid w:val="0048564D"/>
    <w:rsid w:val="0048610D"/>
    <w:rsid w:val="00487233"/>
    <w:rsid w:val="00487502"/>
    <w:rsid w:val="00487D20"/>
    <w:rsid w:val="00487EDD"/>
    <w:rsid w:val="004902C6"/>
    <w:rsid w:val="00491F6A"/>
    <w:rsid w:val="00492C65"/>
    <w:rsid w:val="00493036"/>
    <w:rsid w:val="00493813"/>
    <w:rsid w:val="00493D0E"/>
    <w:rsid w:val="00493DE3"/>
    <w:rsid w:val="00494159"/>
    <w:rsid w:val="00495C96"/>
    <w:rsid w:val="00496192"/>
    <w:rsid w:val="00496A82"/>
    <w:rsid w:val="004973B6"/>
    <w:rsid w:val="00497DBD"/>
    <w:rsid w:val="004A0209"/>
    <w:rsid w:val="004A0B00"/>
    <w:rsid w:val="004A16AC"/>
    <w:rsid w:val="004A1B27"/>
    <w:rsid w:val="004A2519"/>
    <w:rsid w:val="004A27D6"/>
    <w:rsid w:val="004A2D87"/>
    <w:rsid w:val="004A2E8E"/>
    <w:rsid w:val="004A3094"/>
    <w:rsid w:val="004A320D"/>
    <w:rsid w:val="004A3886"/>
    <w:rsid w:val="004A3B69"/>
    <w:rsid w:val="004A4CEB"/>
    <w:rsid w:val="004A54D0"/>
    <w:rsid w:val="004A6918"/>
    <w:rsid w:val="004B0D78"/>
    <w:rsid w:val="004B17D0"/>
    <w:rsid w:val="004B1EF0"/>
    <w:rsid w:val="004B2F1B"/>
    <w:rsid w:val="004B332D"/>
    <w:rsid w:val="004B392D"/>
    <w:rsid w:val="004B3E2F"/>
    <w:rsid w:val="004B41A3"/>
    <w:rsid w:val="004B45ED"/>
    <w:rsid w:val="004B504E"/>
    <w:rsid w:val="004B57BD"/>
    <w:rsid w:val="004B68D8"/>
    <w:rsid w:val="004B6B6B"/>
    <w:rsid w:val="004B7122"/>
    <w:rsid w:val="004B72C4"/>
    <w:rsid w:val="004B73C5"/>
    <w:rsid w:val="004C00FA"/>
    <w:rsid w:val="004C02F9"/>
    <w:rsid w:val="004C09FC"/>
    <w:rsid w:val="004C101C"/>
    <w:rsid w:val="004C13BF"/>
    <w:rsid w:val="004C1B58"/>
    <w:rsid w:val="004C1CB5"/>
    <w:rsid w:val="004C1E35"/>
    <w:rsid w:val="004C2EA2"/>
    <w:rsid w:val="004C379E"/>
    <w:rsid w:val="004C3D52"/>
    <w:rsid w:val="004C5C28"/>
    <w:rsid w:val="004C5C79"/>
    <w:rsid w:val="004C6A62"/>
    <w:rsid w:val="004C79F5"/>
    <w:rsid w:val="004C7DF8"/>
    <w:rsid w:val="004C7ED1"/>
    <w:rsid w:val="004D07B1"/>
    <w:rsid w:val="004D2256"/>
    <w:rsid w:val="004D27E4"/>
    <w:rsid w:val="004D2F73"/>
    <w:rsid w:val="004D3C4D"/>
    <w:rsid w:val="004D5328"/>
    <w:rsid w:val="004D54AE"/>
    <w:rsid w:val="004D5507"/>
    <w:rsid w:val="004D5ACA"/>
    <w:rsid w:val="004D64B8"/>
    <w:rsid w:val="004D65AD"/>
    <w:rsid w:val="004D69A6"/>
    <w:rsid w:val="004D7064"/>
    <w:rsid w:val="004D78B1"/>
    <w:rsid w:val="004E12B7"/>
    <w:rsid w:val="004E13C3"/>
    <w:rsid w:val="004E2445"/>
    <w:rsid w:val="004E3FA9"/>
    <w:rsid w:val="004E4145"/>
    <w:rsid w:val="004E4665"/>
    <w:rsid w:val="004E46A2"/>
    <w:rsid w:val="004E4B44"/>
    <w:rsid w:val="004E52DA"/>
    <w:rsid w:val="004E5437"/>
    <w:rsid w:val="004E64C9"/>
    <w:rsid w:val="004E70B7"/>
    <w:rsid w:val="004E77B8"/>
    <w:rsid w:val="004E78C1"/>
    <w:rsid w:val="004F0C62"/>
    <w:rsid w:val="004F136D"/>
    <w:rsid w:val="004F1FE6"/>
    <w:rsid w:val="004F2602"/>
    <w:rsid w:val="004F3980"/>
    <w:rsid w:val="004F44C3"/>
    <w:rsid w:val="004F4562"/>
    <w:rsid w:val="004F46AD"/>
    <w:rsid w:val="004F4B4C"/>
    <w:rsid w:val="004F4FF5"/>
    <w:rsid w:val="004F579F"/>
    <w:rsid w:val="004F5849"/>
    <w:rsid w:val="004F5924"/>
    <w:rsid w:val="004F5AEB"/>
    <w:rsid w:val="004F5D80"/>
    <w:rsid w:val="004F719E"/>
    <w:rsid w:val="004F73FF"/>
    <w:rsid w:val="004F7D7E"/>
    <w:rsid w:val="004F7D91"/>
    <w:rsid w:val="005008AE"/>
    <w:rsid w:val="00500907"/>
    <w:rsid w:val="00500B45"/>
    <w:rsid w:val="005020F6"/>
    <w:rsid w:val="00502295"/>
    <w:rsid w:val="00504D35"/>
    <w:rsid w:val="00505566"/>
    <w:rsid w:val="005065BD"/>
    <w:rsid w:val="005067CD"/>
    <w:rsid w:val="00506892"/>
    <w:rsid w:val="00507A86"/>
    <w:rsid w:val="00510378"/>
    <w:rsid w:val="00510CDE"/>
    <w:rsid w:val="0051100C"/>
    <w:rsid w:val="00512060"/>
    <w:rsid w:val="0051303A"/>
    <w:rsid w:val="00513430"/>
    <w:rsid w:val="0051387A"/>
    <w:rsid w:val="005149EA"/>
    <w:rsid w:val="00515417"/>
    <w:rsid w:val="00516BA9"/>
    <w:rsid w:val="0051764B"/>
    <w:rsid w:val="0051766A"/>
    <w:rsid w:val="00517EE3"/>
    <w:rsid w:val="00520186"/>
    <w:rsid w:val="00520311"/>
    <w:rsid w:val="0052031B"/>
    <w:rsid w:val="005209C4"/>
    <w:rsid w:val="00521872"/>
    <w:rsid w:val="00521DA3"/>
    <w:rsid w:val="00522A76"/>
    <w:rsid w:val="00522D7C"/>
    <w:rsid w:val="00523569"/>
    <w:rsid w:val="0052496D"/>
    <w:rsid w:val="00524EA6"/>
    <w:rsid w:val="005255F8"/>
    <w:rsid w:val="005259CE"/>
    <w:rsid w:val="00526792"/>
    <w:rsid w:val="00526D4D"/>
    <w:rsid w:val="00526FC9"/>
    <w:rsid w:val="005270DF"/>
    <w:rsid w:val="00527496"/>
    <w:rsid w:val="005276DD"/>
    <w:rsid w:val="005278B1"/>
    <w:rsid w:val="00527AC0"/>
    <w:rsid w:val="005302D1"/>
    <w:rsid w:val="0053056B"/>
    <w:rsid w:val="0053086D"/>
    <w:rsid w:val="005310E0"/>
    <w:rsid w:val="0053124B"/>
    <w:rsid w:val="005321F8"/>
    <w:rsid w:val="00532616"/>
    <w:rsid w:val="0053272B"/>
    <w:rsid w:val="00532D2E"/>
    <w:rsid w:val="005332A9"/>
    <w:rsid w:val="00533805"/>
    <w:rsid w:val="00533978"/>
    <w:rsid w:val="00533D4C"/>
    <w:rsid w:val="0053430F"/>
    <w:rsid w:val="00534B98"/>
    <w:rsid w:val="005372B8"/>
    <w:rsid w:val="00537A8F"/>
    <w:rsid w:val="005400E6"/>
    <w:rsid w:val="0054048D"/>
    <w:rsid w:val="0054162F"/>
    <w:rsid w:val="0054219A"/>
    <w:rsid w:val="0054250A"/>
    <w:rsid w:val="005426BF"/>
    <w:rsid w:val="00542899"/>
    <w:rsid w:val="00542EC2"/>
    <w:rsid w:val="00543186"/>
    <w:rsid w:val="005435CE"/>
    <w:rsid w:val="005443AC"/>
    <w:rsid w:val="0054500C"/>
    <w:rsid w:val="005452A4"/>
    <w:rsid w:val="00545538"/>
    <w:rsid w:val="00545729"/>
    <w:rsid w:val="005461A0"/>
    <w:rsid w:val="005465A3"/>
    <w:rsid w:val="00547E70"/>
    <w:rsid w:val="00547F85"/>
    <w:rsid w:val="00550462"/>
    <w:rsid w:val="00551727"/>
    <w:rsid w:val="00552238"/>
    <w:rsid w:val="005529F0"/>
    <w:rsid w:val="00552E3E"/>
    <w:rsid w:val="0055337F"/>
    <w:rsid w:val="005534E9"/>
    <w:rsid w:val="00554109"/>
    <w:rsid w:val="0055418A"/>
    <w:rsid w:val="00554362"/>
    <w:rsid w:val="0055464B"/>
    <w:rsid w:val="00555B36"/>
    <w:rsid w:val="00555B66"/>
    <w:rsid w:val="00556055"/>
    <w:rsid w:val="00556169"/>
    <w:rsid w:val="0055644A"/>
    <w:rsid w:val="005572B1"/>
    <w:rsid w:val="00557EC5"/>
    <w:rsid w:val="00561217"/>
    <w:rsid w:val="00562DCC"/>
    <w:rsid w:val="0056313B"/>
    <w:rsid w:val="005639CF"/>
    <w:rsid w:val="00565DC6"/>
    <w:rsid w:val="00565E56"/>
    <w:rsid w:val="00565E58"/>
    <w:rsid w:val="00566BCC"/>
    <w:rsid w:val="00567028"/>
    <w:rsid w:val="0056739F"/>
    <w:rsid w:val="005677AE"/>
    <w:rsid w:val="00567E95"/>
    <w:rsid w:val="0057153F"/>
    <w:rsid w:val="005717E4"/>
    <w:rsid w:val="00572D77"/>
    <w:rsid w:val="0057307C"/>
    <w:rsid w:val="005734D3"/>
    <w:rsid w:val="0057352F"/>
    <w:rsid w:val="00573FC5"/>
    <w:rsid w:val="00574ACB"/>
    <w:rsid w:val="005764D0"/>
    <w:rsid w:val="00576F46"/>
    <w:rsid w:val="00577B14"/>
    <w:rsid w:val="00577C9C"/>
    <w:rsid w:val="00577F02"/>
    <w:rsid w:val="00580159"/>
    <w:rsid w:val="0058291F"/>
    <w:rsid w:val="00583E41"/>
    <w:rsid w:val="005864FA"/>
    <w:rsid w:val="00587322"/>
    <w:rsid w:val="0058744D"/>
    <w:rsid w:val="00587CC9"/>
    <w:rsid w:val="00590CD8"/>
    <w:rsid w:val="00591DCA"/>
    <w:rsid w:val="0059276B"/>
    <w:rsid w:val="005929CB"/>
    <w:rsid w:val="005935C6"/>
    <w:rsid w:val="00593799"/>
    <w:rsid w:val="005939DD"/>
    <w:rsid w:val="00593E13"/>
    <w:rsid w:val="0059497D"/>
    <w:rsid w:val="00596098"/>
    <w:rsid w:val="005965BC"/>
    <w:rsid w:val="00596C16"/>
    <w:rsid w:val="00597112"/>
    <w:rsid w:val="005A0037"/>
    <w:rsid w:val="005A08F4"/>
    <w:rsid w:val="005A0DB5"/>
    <w:rsid w:val="005A1602"/>
    <w:rsid w:val="005A1D67"/>
    <w:rsid w:val="005A2AA6"/>
    <w:rsid w:val="005A2F90"/>
    <w:rsid w:val="005A3A15"/>
    <w:rsid w:val="005A4B08"/>
    <w:rsid w:val="005A5095"/>
    <w:rsid w:val="005A5F6A"/>
    <w:rsid w:val="005A789A"/>
    <w:rsid w:val="005B121F"/>
    <w:rsid w:val="005B23F7"/>
    <w:rsid w:val="005B2A22"/>
    <w:rsid w:val="005B2A72"/>
    <w:rsid w:val="005B343C"/>
    <w:rsid w:val="005B43A1"/>
    <w:rsid w:val="005B43B5"/>
    <w:rsid w:val="005B475A"/>
    <w:rsid w:val="005B4A08"/>
    <w:rsid w:val="005B4ECA"/>
    <w:rsid w:val="005B4F9C"/>
    <w:rsid w:val="005B5862"/>
    <w:rsid w:val="005B614E"/>
    <w:rsid w:val="005B689F"/>
    <w:rsid w:val="005C17F8"/>
    <w:rsid w:val="005C1E8A"/>
    <w:rsid w:val="005C26FC"/>
    <w:rsid w:val="005C2DE0"/>
    <w:rsid w:val="005C3A07"/>
    <w:rsid w:val="005C3CD6"/>
    <w:rsid w:val="005C3E2A"/>
    <w:rsid w:val="005C46F5"/>
    <w:rsid w:val="005C4950"/>
    <w:rsid w:val="005C4A0A"/>
    <w:rsid w:val="005C4CE1"/>
    <w:rsid w:val="005C52AE"/>
    <w:rsid w:val="005C629B"/>
    <w:rsid w:val="005C62C2"/>
    <w:rsid w:val="005C65D2"/>
    <w:rsid w:val="005C6694"/>
    <w:rsid w:val="005D0632"/>
    <w:rsid w:val="005D0723"/>
    <w:rsid w:val="005D09C8"/>
    <w:rsid w:val="005D200B"/>
    <w:rsid w:val="005D2015"/>
    <w:rsid w:val="005D21FD"/>
    <w:rsid w:val="005D2DB2"/>
    <w:rsid w:val="005D3927"/>
    <w:rsid w:val="005D3B6D"/>
    <w:rsid w:val="005D3E2C"/>
    <w:rsid w:val="005D59F9"/>
    <w:rsid w:val="005D60EE"/>
    <w:rsid w:val="005D66BB"/>
    <w:rsid w:val="005D6B67"/>
    <w:rsid w:val="005D793E"/>
    <w:rsid w:val="005D7CAD"/>
    <w:rsid w:val="005E1132"/>
    <w:rsid w:val="005E1388"/>
    <w:rsid w:val="005E1DD9"/>
    <w:rsid w:val="005E1E05"/>
    <w:rsid w:val="005E270A"/>
    <w:rsid w:val="005E3E1C"/>
    <w:rsid w:val="005E4246"/>
    <w:rsid w:val="005E4A20"/>
    <w:rsid w:val="005E4AA0"/>
    <w:rsid w:val="005E515A"/>
    <w:rsid w:val="005E5172"/>
    <w:rsid w:val="005E54A6"/>
    <w:rsid w:val="005E5DFD"/>
    <w:rsid w:val="005E5E35"/>
    <w:rsid w:val="005E634F"/>
    <w:rsid w:val="005E70E0"/>
    <w:rsid w:val="005E7DFC"/>
    <w:rsid w:val="005F00D5"/>
    <w:rsid w:val="005F0AA5"/>
    <w:rsid w:val="005F265F"/>
    <w:rsid w:val="005F2692"/>
    <w:rsid w:val="005F2AA4"/>
    <w:rsid w:val="005F3578"/>
    <w:rsid w:val="005F37DF"/>
    <w:rsid w:val="005F5F94"/>
    <w:rsid w:val="005F6DA3"/>
    <w:rsid w:val="005F703B"/>
    <w:rsid w:val="00600380"/>
    <w:rsid w:val="006005BD"/>
    <w:rsid w:val="0060082C"/>
    <w:rsid w:val="00600A69"/>
    <w:rsid w:val="00601420"/>
    <w:rsid w:val="00602C1E"/>
    <w:rsid w:val="0060308A"/>
    <w:rsid w:val="00604D50"/>
    <w:rsid w:val="0060538A"/>
    <w:rsid w:val="00605E04"/>
    <w:rsid w:val="00605ED1"/>
    <w:rsid w:val="006063CF"/>
    <w:rsid w:val="0060708A"/>
    <w:rsid w:val="0060724B"/>
    <w:rsid w:val="006072E7"/>
    <w:rsid w:val="006074EF"/>
    <w:rsid w:val="0060757E"/>
    <w:rsid w:val="00607919"/>
    <w:rsid w:val="00610529"/>
    <w:rsid w:val="00610562"/>
    <w:rsid w:val="00610766"/>
    <w:rsid w:val="00611EBD"/>
    <w:rsid w:val="00612640"/>
    <w:rsid w:val="006129F8"/>
    <w:rsid w:val="00612AB5"/>
    <w:rsid w:val="00612E01"/>
    <w:rsid w:val="006132B6"/>
    <w:rsid w:val="00613356"/>
    <w:rsid w:val="00613A93"/>
    <w:rsid w:val="00614871"/>
    <w:rsid w:val="006150D6"/>
    <w:rsid w:val="00615424"/>
    <w:rsid w:val="00615C6B"/>
    <w:rsid w:val="00615E65"/>
    <w:rsid w:val="00616583"/>
    <w:rsid w:val="00617120"/>
    <w:rsid w:val="006171F1"/>
    <w:rsid w:val="00617A53"/>
    <w:rsid w:val="0062015D"/>
    <w:rsid w:val="0062015F"/>
    <w:rsid w:val="0062055E"/>
    <w:rsid w:val="00621025"/>
    <w:rsid w:val="00621C31"/>
    <w:rsid w:val="00621C71"/>
    <w:rsid w:val="00622A51"/>
    <w:rsid w:val="00622A97"/>
    <w:rsid w:val="00622BC0"/>
    <w:rsid w:val="00622D87"/>
    <w:rsid w:val="00623167"/>
    <w:rsid w:val="00624346"/>
    <w:rsid w:val="00624D90"/>
    <w:rsid w:val="00624FBA"/>
    <w:rsid w:val="00624FC8"/>
    <w:rsid w:val="00626170"/>
    <w:rsid w:val="00626461"/>
    <w:rsid w:val="006265CF"/>
    <w:rsid w:val="00626C55"/>
    <w:rsid w:val="00626CAF"/>
    <w:rsid w:val="00627B6D"/>
    <w:rsid w:val="00630234"/>
    <w:rsid w:val="00630EAB"/>
    <w:rsid w:val="006313C1"/>
    <w:rsid w:val="00631C30"/>
    <w:rsid w:val="00633798"/>
    <w:rsid w:val="00634026"/>
    <w:rsid w:val="006344BA"/>
    <w:rsid w:val="006351B2"/>
    <w:rsid w:val="006363F5"/>
    <w:rsid w:val="00636608"/>
    <w:rsid w:val="006369A4"/>
    <w:rsid w:val="00636F5C"/>
    <w:rsid w:val="0063723E"/>
    <w:rsid w:val="00640124"/>
    <w:rsid w:val="006408F8"/>
    <w:rsid w:val="00640D1D"/>
    <w:rsid w:val="00640D7F"/>
    <w:rsid w:val="00641003"/>
    <w:rsid w:val="006411C3"/>
    <w:rsid w:val="0064129C"/>
    <w:rsid w:val="0064146B"/>
    <w:rsid w:val="00641807"/>
    <w:rsid w:val="00641F5C"/>
    <w:rsid w:val="00642148"/>
    <w:rsid w:val="00643549"/>
    <w:rsid w:val="0064371E"/>
    <w:rsid w:val="006437AC"/>
    <w:rsid w:val="00644F4E"/>
    <w:rsid w:val="00645114"/>
    <w:rsid w:val="00645505"/>
    <w:rsid w:val="006455E6"/>
    <w:rsid w:val="00645855"/>
    <w:rsid w:val="00646EB5"/>
    <w:rsid w:val="006473FE"/>
    <w:rsid w:val="006475D4"/>
    <w:rsid w:val="00650E38"/>
    <w:rsid w:val="00650F81"/>
    <w:rsid w:val="0065113F"/>
    <w:rsid w:val="00651527"/>
    <w:rsid w:val="00652118"/>
    <w:rsid w:val="006524AD"/>
    <w:rsid w:val="00654B17"/>
    <w:rsid w:val="00655D7A"/>
    <w:rsid w:val="00656200"/>
    <w:rsid w:val="00656887"/>
    <w:rsid w:val="006569F2"/>
    <w:rsid w:val="00657495"/>
    <w:rsid w:val="00657620"/>
    <w:rsid w:val="00661333"/>
    <w:rsid w:val="006617A2"/>
    <w:rsid w:val="00661DAF"/>
    <w:rsid w:val="00661FD4"/>
    <w:rsid w:val="006632BD"/>
    <w:rsid w:val="00663788"/>
    <w:rsid w:val="00663A7F"/>
    <w:rsid w:val="00663F42"/>
    <w:rsid w:val="0066412E"/>
    <w:rsid w:val="00664CAD"/>
    <w:rsid w:val="00665B71"/>
    <w:rsid w:val="00665D40"/>
    <w:rsid w:val="00666CA6"/>
    <w:rsid w:val="00667265"/>
    <w:rsid w:val="0066762F"/>
    <w:rsid w:val="00667F02"/>
    <w:rsid w:val="00667F30"/>
    <w:rsid w:val="006701E5"/>
    <w:rsid w:val="006704DA"/>
    <w:rsid w:val="00671D57"/>
    <w:rsid w:val="0067282C"/>
    <w:rsid w:val="00672C08"/>
    <w:rsid w:val="00672F4E"/>
    <w:rsid w:val="00673757"/>
    <w:rsid w:val="00673997"/>
    <w:rsid w:val="00674A1E"/>
    <w:rsid w:val="00674CD5"/>
    <w:rsid w:val="00674E8D"/>
    <w:rsid w:val="006752E3"/>
    <w:rsid w:val="006755EC"/>
    <w:rsid w:val="006769DC"/>
    <w:rsid w:val="00677321"/>
    <w:rsid w:val="0067777E"/>
    <w:rsid w:val="00677B42"/>
    <w:rsid w:val="0068132F"/>
    <w:rsid w:val="00682B39"/>
    <w:rsid w:val="00682C2F"/>
    <w:rsid w:val="006830A9"/>
    <w:rsid w:val="006835E8"/>
    <w:rsid w:val="00683B33"/>
    <w:rsid w:val="00683D7C"/>
    <w:rsid w:val="0068464A"/>
    <w:rsid w:val="00684E1D"/>
    <w:rsid w:val="006856E5"/>
    <w:rsid w:val="0068649F"/>
    <w:rsid w:val="00686E1E"/>
    <w:rsid w:val="00687504"/>
    <w:rsid w:val="00687639"/>
    <w:rsid w:val="00690057"/>
    <w:rsid w:val="006902B2"/>
    <w:rsid w:val="00690469"/>
    <w:rsid w:val="00690854"/>
    <w:rsid w:val="0069099A"/>
    <w:rsid w:val="00690BDC"/>
    <w:rsid w:val="006916DD"/>
    <w:rsid w:val="00691DE5"/>
    <w:rsid w:val="00692511"/>
    <w:rsid w:val="00692C14"/>
    <w:rsid w:val="006939CB"/>
    <w:rsid w:val="00693EB2"/>
    <w:rsid w:val="006941CF"/>
    <w:rsid w:val="0069444C"/>
    <w:rsid w:val="00694D33"/>
    <w:rsid w:val="00695FF0"/>
    <w:rsid w:val="00696C36"/>
    <w:rsid w:val="00696FF3"/>
    <w:rsid w:val="0069717B"/>
    <w:rsid w:val="00697FC4"/>
    <w:rsid w:val="006A0003"/>
    <w:rsid w:val="006A0019"/>
    <w:rsid w:val="006A0042"/>
    <w:rsid w:val="006A11AB"/>
    <w:rsid w:val="006A25B9"/>
    <w:rsid w:val="006A2B74"/>
    <w:rsid w:val="006A2CDA"/>
    <w:rsid w:val="006A3DF0"/>
    <w:rsid w:val="006A6633"/>
    <w:rsid w:val="006A6745"/>
    <w:rsid w:val="006B0E6E"/>
    <w:rsid w:val="006B0E7C"/>
    <w:rsid w:val="006B11BA"/>
    <w:rsid w:val="006B24CF"/>
    <w:rsid w:val="006B2BBE"/>
    <w:rsid w:val="006B322E"/>
    <w:rsid w:val="006B35A5"/>
    <w:rsid w:val="006B53F7"/>
    <w:rsid w:val="006B5F6A"/>
    <w:rsid w:val="006B5F73"/>
    <w:rsid w:val="006B7E76"/>
    <w:rsid w:val="006C037B"/>
    <w:rsid w:val="006C0825"/>
    <w:rsid w:val="006C0955"/>
    <w:rsid w:val="006C306D"/>
    <w:rsid w:val="006C3224"/>
    <w:rsid w:val="006C36E5"/>
    <w:rsid w:val="006C5794"/>
    <w:rsid w:val="006C6ACF"/>
    <w:rsid w:val="006C76BD"/>
    <w:rsid w:val="006D0933"/>
    <w:rsid w:val="006D17B3"/>
    <w:rsid w:val="006D2DE5"/>
    <w:rsid w:val="006D46B2"/>
    <w:rsid w:val="006D54C8"/>
    <w:rsid w:val="006D5763"/>
    <w:rsid w:val="006D6255"/>
    <w:rsid w:val="006D767D"/>
    <w:rsid w:val="006D7D53"/>
    <w:rsid w:val="006E0366"/>
    <w:rsid w:val="006E10B4"/>
    <w:rsid w:val="006E1358"/>
    <w:rsid w:val="006E15CE"/>
    <w:rsid w:val="006E1863"/>
    <w:rsid w:val="006E1E29"/>
    <w:rsid w:val="006E1F1C"/>
    <w:rsid w:val="006E28BE"/>
    <w:rsid w:val="006E4519"/>
    <w:rsid w:val="006E4B1A"/>
    <w:rsid w:val="006E5B88"/>
    <w:rsid w:val="006E633B"/>
    <w:rsid w:val="006E68DD"/>
    <w:rsid w:val="006E727A"/>
    <w:rsid w:val="006E7355"/>
    <w:rsid w:val="006E73CC"/>
    <w:rsid w:val="006F1330"/>
    <w:rsid w:val="006F19BD"/>
    <w:rsid w:val="006F1F77"/>
    <w:rsid w:val="006F2602"/>
    <w:rsid w:val="006F2A94"/>
    <w:rsid w:val="006F2AA0"/>
    <w:rsid w:val="006F2B1D"/>
    <w:rsid w:val="006F3183"/>
    <w:rsid w:val="006F46E0"/>
    <w:rsid w:val="006F4AC8"/>
    <w:rsid w:val="006F4E4B"/>
    <w:rsid w:val="006F4F01"/>
    <w:rsid w:val="006F5A12"/>
    <w:rsid w:val="006F634E"/>
    <w:rsid w:val="006F641E"/>
    <w:rsid w:val="006F68B3"/>
    <w:rsid w:val="006F6CCE"/>
    <w:rsid w:val="006F73A3"/>
    <w:rsid w:val="006F741D"/>
    <w:rsid w:val="006F74BA"/>
    <w:rsid w:val="00700DB7"/>
    <w:rsid w:val="007010DF"/>
    <w:rsid w:val="007035B5"/>
    <w:rsid w:val="00704208"/>
    <w:rsid w:val="00704325"/>
    <w:rsid w:val="00704CB4"/>
    <w:rsid w:val="00705D9A"/>
    <w:rsid w:val="00706D0F"/>
    <w:rsid w:val="00707D10"/>
    <w:rsid w:val="007105A0"/>
    <w:rsid w:val="0071085E"/>
    <w:rsid w:val="00710C12"/>
    <w:rsid w:val="00710E5F"/>
    <w:rsid w:val="00710E66"/>
    <w:rsid w:val="00710E70"/>
    <w:rsid w:val="00710EA3"/>
    <w:rsid w:val="007111E3"/>
    <w:rsid w:val="00711B44"/>
    <w:rsid w:val="00712A9B"/>
    <w:rsid w:val="00713985"/>
    <w:rsid w:val="00713CB8"/>
    <w:rsid w:val="00713F87"/>
    <w:rsid w:val="007141D5"/>
    <w:rsid w:val="00714500"/>
    <w:rsid w:val="00714E28"/>
    <w:rsid w:val="00715543"/>
    <w:rsid w:val="007156FB"/>
    <w:rsid w:val="00715D63"/>
    <w:rsid w:val="007169F4"/>
    <w:rsid w:val="00716C7E"/>
    <w:rsid w:val="00716F77"/>
    <w:rsid w:val="00717F38"/>
    <w:rsid w:val="00720BD4"/>
    <w:rsid w:val="007212BF"/>
    <w:rsid w:val="00721411"/>
    <w:rsid w:val="007223A9"/>
    <w:rsid w:val="00722AF3"/>
    <w:rsid w:val="00723815"/>
    <w:rsid w:val="00723DC9"/>
    <w:rsid w:val="0072484E"/>
    <w:rsid w:val="0072606E"/>
    <w:rsid w:val="00726E86"/>
    <w:rsid w:val="007274F7"/>
    <w:rsid w:val="00727AF2"/>
    <w:rsid w:val="00730533"/>
    <w:rsid w:val="00732C0F"/>
    <w:rsid w:val="00733521"/>
    <w:rsid w:val="007335E9"/>
    <w:rsid w:val="0073489C"/>
    <w:rsid w:val="00734C3F"/>
    <w:rsid w:val="00736DEE"/>
    <w:rsid w:val="007414C5"/>
    <w:rsid w:val="00741A58"/>
    <w:rsid w:val="007429B5"/>
    <w:rsid w:val="00742A54"/>
    <w:rsid w:val="00742C96"/>
    <w:rsid w:val="007431BC"/>
    <w:rsid w:val="00745849"/>
    <w:rsid w:val="00745D45"/>
    <w:rsid w:val="00746FDC"/>
    <w:rsid w:val="0074798A"/>
    <w:rsid w:val="0075078C"/>
    <w:rsid w:val="0075092B"/>
    <w:rsid w:val="007510A9"/>
    <w:rsid w:val="00752540"/>
    <w:rsid w:val="0075295A"/>
    <w:rsid w:val="00752D6A"/>
    <w:rsid w:val="00752DAC"/>
    <w:rsid w:val="00752FF1"/>
    <w:rsid w:val="0075346A"/>
    <w:rsid w:val="00753F04"/>
    <w:rsid w:val="00755000"/>
    <w:rsid w:val="00755119"/>
    <w:rsid w:val="00756382"/>
    <w:rsid w:val="0075707E"/>
    <w:rsid w:val="00757D21"/>
    <w:rsid w:val="00760050"/>
    <w:rsid w:val="0076030F"/>
    <w:rsid w:val="00760434"/>
    <w:rsid w:val="0076185C"/>
    <w:rsid w:val="00761DB5"/>
    <w:rsid w:val="00762CA7"/>
    <w:rsid w:val="00763285"/>
    <w:rsid w:val="007640AC"/>
    <w:rsid w:val="00764214"/>
    <w:rsid w:val="00764C10"/>
    <w:rsid w:val="00764DFA"/>
    <w:rsid w:val="007656EF"/>
    <w:rsid w:val="00765FC1"/>
    <w:rsid w:val="007663DD"/>
    <w:rsid w:val="007673D5"/>
    <w:rsid w:val="00767DA9"/>
    <w:rsid w:val="007713F2"/>
    <w:rsid w:val="00772368"/>
    <w:rsid w:val="007734FE"/>
    <w:rsid w:val="00773A11"/>
    <w:rsid w:val="00773A9E"/>
    <w:rsid w:val="00774957"/>
    <w:rsid w:val="00774A17"/>
    <w:rsid w:val="0077508C"/>
    <w:rsid w:val="0077633F"/>
    <w:rsid w:val="00776D46"/>
    <w:rsid w:val="00776FE0"/>
    <w:rsid w:val="007773FB"/>
    <w:rsid w:val="007806C1"/>
    <w:rsid w:val="00780F7E"/>
    <w:rsid w:val="00781284"/>
    <w:rsid w:val="00782135"/>
    <w:rsid w:val="0078280D"/>
    <w:rsid w:val="00782ECF"/>
    <w:rsid w:val="00783421"/>
    <w:rsid w:val="00783AD1"/>
    <w:rsid w:val="00783D95"/>
    <w:rsid w:val="00784581"/>
    <w:rsid w:val="007846AB"/>
    <w:rsid w:val="00784A14"/>
    <w:rsid w:val="00784C59"/>
    <w:rsid w:val="00785C4C"/>
    <w:rsid w:val="00786725"/>
    <w:rsid w:val="007869FC"/>
    <w:rsid w:val="00790AC1"/>
    <w:rsid w:val="007911E0"/>
    <w:rsid w:val="007940DB"/>
    <w:rsid w:val="007940E9"/>
    <w:rsid w:val="007945EC"/>
    <w:rsid w:val="00794A46"/>
    <w:rsid w:val="00794ACB"/>
    <w:rsid w:val="00795F5A"/>
    <w:rsid w:val="00796C7A"/>
    <w:rsid w:val="00797209"/>
    <w:rsid w:val="007979D1"/>
    <w:rsid w:val="007A0ED4"/>
    <w:rsid w:val="007A1EF4"/>
    <w:rsid w:val="007A220F"/>
    <w:rsid w:val="007A2AF0"/>
    <w:rsid w:val="007A31AF"/>
    <w:rsid w:val="007A3493"/>
    <w:rsid w:val="007A55EC"/>
    <w:rsid w:val="007A59B9"/>
    <w:rsid w:val="007A6669"/>
    <w:rsid w:val="007A6774"/>
    <w:rsid w:val="007A7982"/>
    <w:rsid w:val="007B0BAB"/>
    <w:rsid w:val="007B1458"/>
    <w:rsid w:val="007B16C6"/>
    <w:rsid w:val="007B31B8"/>
    <w:rsid w:val="007B323F"/>
    <w:rsid w:val="007B3A5F"/>
    <w:rsid w:val="007B3C58"/>
    <w:rsid w:val="007B434E"/>
    <w:rsid w:val="007B4E10"/>
    <w:rsid w:val="007B5236"/>
    <w:rsid w:val="007B53E3"/>
    <w:rsid w:val="007B5427"/>
    <w:rsid w:val="007B5655"/>
    <w:rsid w:val="007B5C79"/>
    <w:rsid w:val="007B5F89"/>
    <w:rsid w:val="007B633B"/>
    <w:rsid w:val="007B6974"/>
    <w:rsid w:val="007B69AD"/>
    <w:rsid w:val="007B75B4"/>
    <w:rsid w:val="007C005F"/>
    <w:rsid w:val="007C10A9"/>
    <w:rsid w:val="007C138B"/>
    <w:rsid w:val="007C1C5F"/>
    <w:rsid w:val="007C1F91"/>
    <w:rsid w:val="007C21DB"/>
    <w:rsid w:val="007C237E"/>
    <w:rsid w:val="007C266E"/>
    <w:rsid w:val="007C2C0C"/>
    <w:rsid w:val="007C3062"/>
    <w:rsid w:val="007C4460"/>
    <w:rsid w:val="007C5444"/>
    <w:rsid w:val="007C5C87"/>
    <w:rsid w:val="007C5F54"/>
    <w:rsid w:val="007C74BE"/>
    <w:rsid w:val="007D0087"/>
    <w:rsid w:val="007D0724"/>
    <w:rsid w:val="007D1A88"/>
    <w:rsid w:val="007D1ECF"/>
    <w:rsid w:val="007D2450"/>
    <w:rsid w:val="007D5193"/>
    <w:rsid w:val="007D5CE6"/>
    <w:rsid w:val="007D6486"/>
    <w:rsid w:val="007D64AF"/>
    <w:rsid w:val="007D64B1"/>
    <w:rsid w:val="007D6D87"/>
    <w:rsid w:val="007E086E"/>
    <w:rsid w:val="007E0EF1"/>
    <w:rsid w:val="007E14B0"/>
    <w:rsid w:val="007E1FAB"/>
    <w:rsid w:val="007E2DC7"/>
    <w:rsid w:val="007E30DB"/>
    <w:rsid w:val="007E3265"/>
    <w:rsid w:val="007E3536"/>
    <w:rsid w:val="007E369A"/>
    <w:rsid w:val="007E547A"/>
    <w:rsid w:val="007E54CB"/>
    <w:rsid w:val="007E5820"/>
    <w:rsid w:val="007E75EF"/>
    <w:rsid w:val="007E7A6B"/>
    <w:rsid w:val="007E7DE2"/>
    <w:rsid w:val="007E7F41"/>
    <w:rsid w:val="007F0CD9"/>
    <w:rsid w:val="007F375B"/>
    <w:rsid w:val="007F3AAE"/>
    <w:rsid w:val="007F3D71"/>
    <w:rsid w:val="007F40FC"/>
    <w:rsid w:val="007F434C"/>
    <w:rsid w:val="007F46FD"/>
    <w:rsid w:val="007F685B"/>
    <w:rsid w:val="007F7CA5"/>
    <w:rsid w:val="00800224"/>
    <w:rsid w:val="00800C9C"/>
    <w:rsid w:val="00801572"/>
    <w:rsid w:val="008017BD"/>
    <w:rsid w:val="00801E00"/>
    <w:rsid w:val="0080255B"/>
    <w:rsid w:val="00804CD0"/>
    <w:rsid w:val="00804E2F"/>
    <w:rsid w:val="008051EC"/>
    <w:rsid w:val="0080586C"/>
    <w:rsid w:val="00806626"/>
    <w:rsid w:val="00806974"/>
    <w:rsid w:val="00806E56"/>
    <w:rsid w:val="00806EBD"/>
    <w:rsid w:val="008076B2"/>
    <w:rsid w:val="00810C51"/>
    <w:rsid w:val="00810D2C"/>
    <w:rsid w:val="008112AE"/>
    <w:rsid w:val="008117A9"/>
    <w:rsid w:val="008117CA"/>
    <w:rsid w:val="00811BFA"/>
    <w:rsid w:val="00812F75"/>
    <w:rsid w:val="008130DD"/>
    <w:rsid w:val="00813954"/>
    <w:rsid w:val="00813995"/>
    <w:rsid w:val="00813FE0"/>
    <w:rsid w:val="00814628"/>
    <w:rsid w:val="00814CF4"/>
    <w:rsid w:val="008156CE"/>
    <w:rsid w:val="00815ED8"/>
    <w:rsid w:val="008169DD"/>
    <w:rsid w:val="00816AD3"/>
    <w:rsid w:val="0082015C"/>
    <w:rsid w:val="0082018D"/>
    <w:rsid w:val="0082116D"/>
    <w:rsid w:val="008213E0"/>
    <w:rsid w:val="00821F1A"/>
    <w:rsid w:val="00822124"/>
    <w:rsid w:val="00822619"/>
    <w:rsid w:val="00822730"/>
    <w:rsid w:val="00822D06"/>
    <w:rsid w:val="00823432"/>
    <w:rsid w:val="00823E24"/>
    <w:rsid w:val="00824533"/>
    <w:rsid w:val="00824772"/>
    <w:rsid w:val="00824AA2"/>
    <w:rsid w:val="00825FF8"/>
    <w:rsid w:val="00826606"/>
    <w:rsid w:val="00827B82"/>
    <w:rsid w:val="00831089"/>
    <w:rsid w:val="0083175C"/>
    <w:rsid w:val="00832D7D"/>
    <w:rsid w:val="00833265"/>
    <w:rsid w:val="00833306"/>
    <w:rsid w:val="00833DD0"/>
    <w:rsid w:val="0083505D"/>
    <w:rsid w:val="008351FC"/>
    <w:rsid w:val="008361B1"/>
    <w:rsid w:val="0083628F"/>
    <w:rsid w:val="00836ABE"/>
    <w:rsid w:val="00840FEC"/>
    <w:rsid w:val="00841C0E"/>
    <w:rsid w:val="00841CB7"/>
    <w:rsid w:val="00842D2F"/>
    <w:rsid w:val="008433E8"/>
    <w:rsid w:val="00844102"/>
    <w:rsid w:val="0084544F"/>
    <w:rsid w:val="0084671C"/>
    <w:rsid w:val="008469CE"/>
    <w:rsid w:val="00846F4A"/>
    <w:rsid w:val="008472BF"/>
    <w:rsid w:val="008477F2"/>
    <w:rsid w:val="00847B96"/>
    <w:rsid w:val="008500FF"/>
    <w:rsid w:val="00850DF2"/>
    <w:rsid w:val="00851144"/>
    <w:rsid w:val="00851225"/>
    <w:rsid w:val="00851395"/>
    <w:rsid w:val="008515D3"/>
    <w:rsid w:val="0085176B"/>
    <w:rsid w:val="00851A0D"/>
    <w:rsid w:val="00851B01"/>
    <w:rsid w:val="00851B51"/>
    <w:rsid w:val="00852AFC"/>
    <w:rsid w:val="00852F83"/>
    <w:rsid w:val="00853391"/>
    <w:rsid w:val="00853C3E"/>
    <w:rsid w:val="00853FFB"/>
    <w:rsid w:val="00854E37"/>
    <w:rsid w:val="0085599D"/>
    <w:rsid w:val="00855C1D"/>
    <w:rsid w:val="0085675E"/>
    <w:rsid w:val="00856909"/>
    <w:rsid w:val="008570F6"/>
    <w:rsid w:val="00857F13"/>
    <w:rsid w:val="00860638"/>
    <w:rsid w:val="00860DAC"/>
    <w:rsid w:val="00861744"/>
    <w:rsid w:val="00862B4B"/>
    <w:rsid w:val="0086348B"/>
    <w:rsid w:val="00863EED"/>
    <w:rsid w:val="0086481E"/>
    <w:rsid w:val="0086490E"/>
    <w:rsid w:val="00865C1E"/>
    <w:rsid w:val="00865E1E"/>
    <w:rsid w:val="00866293"/>
    <w:rsid w:val="00866607"/>
    <w:rsid w:val="0086695E"/>
    <w:rsid w:val="00866EF8"/>
    <w:rsid w:val="00867EE8"/>
    <w:rsid w:val="0087069B"/>
    <w:rsid w:val="00870951"/>
    <w:rsid w:val="00870B54"/>
    <w:rsid w:val="00871329"/>
    <w:rsid w:val="00871DD1"/>
    <w:rsid w:val="00872AE0"/>
    <w:rsid w:val="00873602"/>
    <w:rsid w:val="00873C99"/>
    <w:rsid w:val="00875BAE"/>
    <w:rsid w:val="008760E6"/>
    <w:rsid w:val="00876A09"/>
    <w:rsid w:val="00877423"/>
    <w:rsid w:val="00877EB8"/>
    <w:rsid w:val="00877FB3"/>
    <w:rsid w:val="00880063"/>
    <w:rsid w:val="00880208"/>
    <w:rsid w:val="0088082D"/>
    <w:rsid w:val="00880F97"/>
    <w:rsid w:val="00881DE5"/>
    <w:rsid w:val="00881ED1"/>
    <w:rsid w:val="00882069"/>
    <w:rsid w:val="00883BBD"/>
    <w:rsid w:val="008849D3"/>
    <w:rsid w:val="008849FD"/>
    <w:rsid w:val="00884E6C"/>
    <w:rsid w:val="0088577D"/>
    <w:rsid w:val="008861AC"/>
    <w:rsid w:val="008904C8"/>
    <w:rsid w:val="00890BF0"/>
    <w:rsid w:val="00890C5A"/>
    <w:rsid w:val="008912B6"/>
    <w:rsid w:val="0089151A"/>
    <w:rsid w:val="0089164B"/>
    <w:rsid w:val="0089190D"/>
    <w:rsid w:val="00892A5B"/>
    <w:rsid w:val="00893223"/>
    <w:rsid w:val="0089365E"/>
    <w:rsid w:val="0089375D"/>
    <w:rsid w:val="0089504A"/>
    <w:rsid w:val="00895B75"/>
    <w:rsid w:val="00895E6C"/>
    <w:rsid w:val="0089651A"/>
    <w:rsid w:val="008979CE"/>
    <w:rsid w:val="00897EBC"/>
    <w:rsid w:val="008A0ACE"/>
    <w:rsid w:val="008A26E5"/>
    <w:rsid w:val="008A374A"/>
    <w:rsid w:val="008A3EA9"/>
    <w:rsid w:val="008A5B23"/>
    <w:rsid w:val="008A63A1"/>
    <w:rsid w:val="008A68BE"/>
    <w:rsid w:val="008A7892"/>
    <w:rsid w:val="008B0088"/>
    <w:rsid w:val="008B0B39"/>
    <w:rsid w:val="008B0CCC"/>
    <w:rsid w:val="008B1F0A"/>
    <w:rsid w:val="008B3904"/>
    <w:rsid w:val="008B4E38"/>
    <w:rsid w:val="008B50BF"/>
    <w:rsid w:val="008B5123"/>
    <w:rsid w:val="008B5F69"/>
    <w:rsid w:val="008B62D6"/>
    <w:rsid w:val="008B6414"/>
    <w:rsid w:val="008B7B4A"/>
    <w:rsid w:val="008B7D50"/>
    <w:rsid w:val="008B7D69"/>
    <w:rsid w:val="008C0618"/>
    <w:rsid w:val="008C09FC"/>
    <w:rsid w:val="008C0A84"/>
    <w:rsid w:val="008C0AD5"/>
    <w:rsid w:val="008C1961"/>
    <w:rsid w:val="008C22BC"/>
    <w:rsid w:val="008C2F04"/>
    <w:rsid w:val="008C31F8"/>
    <w:rsid w:val="008C329D"/>
    <w:rsid w:val="008C376B"/>
    <w:rsid w:val="008C39AD"/>
    <w:rsid w:val="008C41EE"/>
    <w:rsid w:val="008C4AC4"/>
    <w:rsid w:val="008C4D67"/>
    <w:rsid w:val="008C4E44"/>
    <w:rsid w:val="008C5154"/>
    <w:rsid w:val="008C562E"/>
    <w:rsid w:val="008C6F55"/>
    <w:rsid w:val="008C785C"/>
    <w:rsid w:val="008C7B1B"/>
    <w:rsid w:val="008C7DA5"/>
    <w:rsid w:val="008D0410"/>
    <w:rsid w:val="008D0A4B"/>
    <w:rsid w:val="008D12C6"/>
    <w:rsid w:val="008D331E"/>
    <w:rsid w:val="008D447C"/>
    <w:rsid w:val="008D4CC3"/>
    <w:rsid w:val="008D5631"/>
    <w:rsid w:val="008D66C6"/>
    <w:rsid w:val="008D79D5"/>
    <w:rsid w:val="008E06C9"/>
    <w:rsid w:val="008E085C"/>
    <w:rsid w:val="008E0865"/>
    <w:rsid w:val="008E09CB"/>
    <w:rsid w:val="008E114E"/>
    <w:rsid w:val="008E194F"/>
    <w:rsid w:val="008E19C6"/>
    <w:rsid w:val="008E1BD1"/>
    <w:rsid w:val="008E3E04"/>
    <w:rsid w:val="008E4B0C"/>
    <w:rsid w:val="008E5539"/>
    <w:rsid w:val="008E568A"/>
    <w:rsid w:val="008E585A"/>
    <w:rsid w:val="008E5DD1"/>
    <w:rsid w:val="008E65AD"/>
    <w:rsid w:val="008E65EF"/>
    <w:rsid w:val="008E6A3E"/>
    <w:rsid w:val="008E6A4D"/>
    <w:rsid w:val="008E7BCB"/>
    <w:rsid w:val="008F0D7F"/>
    <w:rsid w:val="008F39F3"/>
    <w:rsid w:val="008F42A1"/>
    <w:rsid w:val="008F43E5"/>
    <w:rsid w:val="008F469F"/>
    <w:rsid w:val="008F5557"/>
    <w:rsid w:val="008F571E"/>
    <w:rsid w:val="008F62F7"/>
    <w:rsid w:val="008F651E"/>
    <w:rsid w:val="008F65BE"/>
    <w:rsid w:val="008F7C0E"/>
    <w:rsid w:val="008F7DC4"/>
    <w:rsid w:val="009008DC"/>
    <w:rsid w:val="009032AD"/>
    <w:rsid w:val="0090333A"/>
    <w:rsid w:val="00904B14"/>
    <w:rsid w:val="00904DAF"/>
    <w:rsid w:val="00905175"/>
    <w:rsid w:val="00905387"/>
    <w:rsid w:val="00905429"/>
    <w:rsid w:val="00906538"/>
    <w:rsid w:val="009066C7"/>
    <w:rsid w:val="00907008"/>
    <w:rsid w:val="009070F9"/>
    <w:rsid w:val="0090796C"/>
    <w:rsid w:val="00907D8F"/>
    <w:rsid w:val="00910166"/>
    <w:rsid w:val="00910BA1"/>
    <w:rsid w:val="00910EA6"/>
    <w:rsid w:val="00911601"/>
    <w:rsid w:val="00911D1B"/>
    <w:rsid w:val="00912142"/>
    <w:rsid w:val="0091217A"/>
    <w:rsid w:val="00912544"/>
    <w:rsid w:val="00912745"/>
    <w:rsid w:val="00912A7D"/>
    <w:rsid w:val="00912C4B"/>
    <w:rsid w:val="00913F25"/>
    <w:rsid w:val="00914B54"/>
    <w:rsid w:val="0091529E"/>
    <w:rsid w:val="00915542"/>
    <w:rsid w:val="0091647C"/>
    <w:rsid w:val="00916565"/>
    <w:rsid w:val="0091752F"/>
    <w:rsid w:val="00917921"/>
    <w:rsid w:val="00917A78"/>
    <w:rsid w:val="00917B9D"/>
    <w:rsid w:val="00917BA3"/>
    <w:rsid w:val="009200E2"/>
    <w:rsid w:val="0092050D"/>
    <w:rsid w:val="009205B2"/>
    <w:rsid w:val="00920B18"/>
    <w:rsid w:val="00920D79"/>
    <w:rsid w:val="0092130D"/>
    <w:rsid w:val="009216F0"/>
    <w:rsid w:val="00922E13"/>
    <w:rsid w:val="0092372D"/>
    <w:rsid w:val="00923811"/>
    <w:rsid w:val="00924665"/>
    <w:rsid w:val="00925566"/>
    <w:rsid w:val="00926004"/>
    <w:rsid w:val="00926B84"/>
    <w:rsid w:val="00926D2F"/>
    <w:rsid w:val="009306BD"/>
    <w:rsid w:val="009307AA"/>
    <w:rsid w:val="00930BC7"/>
    <w:rsid w:val="009314A9"/>
    <w:rsid w:val="0093185C"/>
    <w:rsid w:val="00931A03"/>
    <w:rsid w:val="0093265E"/>
    <w:rsid w:val="00932F91"/>
    <w:rsid w:val="00933C5F"/>
    <w:rsid w:val="00933DBA"/>
    <w:rsid w:val="009356E9"/>
    <w:rsid w:val="009365BB"/>
    <w:rsid w:val="00936F08"/>
    <w:rsid w:val="00937DCD"/>
    <w:rsid w:val="00941045"/>
    <w:rsid w:val="009410D0"/>
    <w:rsid w:val="0094163F"/>
    <w:rsid w:val="009431CD"/>
    <w:rsid w:val="009437FE"/>
    <w:rsid w:val="0094493C"/>
    <w:rsid w:val="00944D57"/>
    <w:rsid w:val="00945304"/>
    <w:rsid w:val="00946EA9"/>
    <w:rsid w:val="00946EFB"/>
    <w:rsid w:val="0094756E"/>
    <w:rsid w:val="00947A1A"/>
    <w:rsid w:val="00947F53"/>
    <w:rsid w:val="00951CA2"/>
    <w:rsid w:val="00951CE5"/>
    <w:rsid w:val="00952979"/>
    <w:rsid w:val="009531B1"/>
    <w:rsid w:val="00954272"/>
    <w:rsid w:val="0095531D"/>
    <w:rsid w:val="0095643A"/>
    <w:rsid w:val="00956648"/>
    <w:rsid w:val="00957463"/>
    <w:rsid w:val="00957EEA"/>
    <w:rsid w:val="00960195"/>
    <w:rsid w:val="0096067E"/>
    <w:rsid w:val="00960B03"/>
    <w:rsid w:val="00960BF8"/>
    <w:rsid w:val="00960F95"/>
    <w:rsid w:val="00961309"/>
    <w:rsid w:val="00961D73"/>
    <w:rsid w:val="009636C4"/>
    <w:rsid w:val="00964012"/>
    <w:rsid w:val="009653A6"/>
    <w:rsid w:val="009657C0"/>
    <w:rsid w:val="00965DF5"/>
    <w:rsid w:val="00970079"/>
    <w:rsid w:val="00970FA4"/>
    <w:rsid w:val="0097166E"/>
    <w:rsid w:val="009725E3"/>
    <w:rsid w:val="0097332E"/>
    <w:rsid w:val="00973D2A"/>
    <w:rsid w:val="00973E87"/>
    <w:rsid w:val="00974510"/>
    <w:rsid w:val="00974F1E"/>
    <w:rsid w:val="00976CBC"/>
    <w:rsid w:val="00977864"/>
    <w:rsid w:val="00977E20"/>
    <w:rsid w:val="00977F10"/>
    <w:rsid w:val="00980335"/>
    <w:rsid w:val="009809A3"/>
    <w:rsid w:val="00980B65"/>
    <w:rsid w:val="00981113"/>
    <w:rsid w:val="00981DDB"/>
    <w:rsid w:val="00982587"/>
    <w:rsid w:val="009827C3"/>
    <w:rsid w:val="0098389D"/>
    <w:rsid w:val="00984F34"/>
    <w:rsid w:val="00984F68"/>
    <w:rsid w:val="00984F92"/>
    <w:rsid w:val="00985A57"/>
    <w:rsid w:val="00985B95"/>
    <w:rsid w:val="0098605A"/>
    <w:rsid w:val="0098641C"/>
    <w:rsid w:val="00987309"/>
    <w:rsid w:val="00987F3F"/>
    <w:rsid w:val="009901F4"/>
    <w:rsid w:val="00990A0D"/>
    <w:rsid w:val="009915AD"/>
    <w:rsid w:val="009915FD"/>
    <w:rsid w:val="00991A88"/>
    <w:rsid w:val="00992267"/>
    <w:rsid w:val="009925C6"/>
    <w:rsid w:val="009925F8"/>
    <w:rsid w:val="00992FB3"/>
    <w:rsid w:val="00994A40"/>
    <w:rsid w:val="00995938"/>
    <w:rsid w:val="00995996"/>
    <w:rsid w:val="00995C08"/>
    <w:rsid w:val="00996B3E"/>
    <w:rsid w:val="009A0BAE"/>
    <w:rsid w:val="009A0F26"/>
    <w:rsid w:val="009A14FC"/>
    <w:rsid w:val="009A27E4"/>
    <w:rsid w:val="009A2D9E"/>
    <w:rsid w:val="009A360A"/>
    <w:rsid w:val="009A3617"/>
    <w:rsid w:val="009A3BF0"/>
    <w:rsid w:val="009A443E"/>
    <w:rsid w:val="009A47D3"/>
    <w:rsid w:val="009A5263"/>
    <w:rsid w:val="009A650C"/>
    <w:rsid w:val="009A6BB2"/>
    <w:rsid w:val="009A6D68"/>
    <w:rsid w:val="009A6F77"/>
    <w:rsid w:val="009A7271"/>
    <w:rsid w:val="009A74AE"/>
    <w:rsid w:val="009A78BF"/>
    <w:rsid w:val="009A79BB"/>
    <w:rsid w:val="009B0761"/>
    <w:rsid w:val="009B0827"/>
    <w:rsid w:val="009B099D"/>
    <w:rsid w:val="009B136C"/>
    <w:rsid w:val="009B159F"/>
    <w:rsid w:val="009B3E9C"/>
    <w:rsid w:val="009B4024"/>
    <w:rsid w:val="009B4CDE"/>
    <w:rsid w:val="009B503B"/>
    <w:rsid w:val="009B50D8"/>
    <w:rsid w:val="009B57DC"/>
    <w:rsid w:val="009B585D"/>
    <w:rsid w:val="009B6035"/>
    <w:rsid w:val="009B6367"/>
    <w:rsid w:val="009B7C7D"/>
    <w:rsid w:val="009C029C"/>
    <w:rsid w:val="009C2B89"/>
    <w:rsid w:val="009C2E9D"/>
    <w:rsid w:val="009C309E"/>
    <w:rsid w:val="009C38E1"/>
    <w:rsid w:val="009C57DB"/>
    <w:rsid w:val="009C5812"/>
    <w:rsid w:val="009C5980"/>
    <w:rsid w:val="009C6F79"/>
    <w:rsid w:val="009C7B3B"/>
    <w:rsid w:val="009C7D73"/>
    <w:rsid w:val="009C7FB7"/>
    <w:rsid w:val="009D0D0E"/>
    <w:rsid w:val="009D0DF4"/>
    <w:rsid w:val="009D193B"/>
    <w:rsid w:val="009D1C53"/>
    <w:rsid w:val="009D2481"/>
    <w:rsid w:val="009D255A"/>
    <w:rsid w:val="009D3CBA"/>
    <w:rsid w:val="009D4E21"/>
    <w:rsid w:val="009D5E6C"/>
    <w:rsid w:val="009D6120"/>
    <w:rsid w:val="009D730F"/>
    <w:rsid w:val="009D7F40"/>
    <w:rsid w:val="009E0522"/>
    <w:rsid w:val="009E16C5"/>
    <w:rsid w:val="009E19BE"/>
    <w:rsid w:val="009E1C96"/>
    <w:rsid w:val="009E22EB"/>
    <w:rsid w:val="009E2348"/>
    <w:rsid w:val="009E29B0"/>
    <w:rsid w:val="009E2AE2"/>
    <w:rsid w:val="009E2D10"/>
    <w:rsid w:val="009E2E48"/>
    <w:rsid w:val="009E3077"/>
    <w:rsid w:val="009E320B"/>
    <w:rsid w:val="009E3D13"/>
    <w:rsid w:val="009E43A6"/>
    <w:rsid w:val="009E507E"/>
    <w:rsid w:val="009E54E8"/>
    <w:rsid w:val="009E5656"/>
    <w:rsid w:val="009E5C61"/>
    <w:rsid w:val="009E5EC6"/>
    <w:rsid w:val="009E612E"/>
    <w:rsid w:val="009E6C39"/>
    <w:rsid w:val="009E7483"/>
    <w:rsid w:val="009F04F4"/>
    <w:rsid w:val="009F0F3A"/>
    <w:rsid w:val="009F1097"/>
    <w:rsid w:val="009F205A"/>
    <w:rsid w:val="009F29A3"/>
    <w:rsid w:val="009F3316"/>
    <w:rsid w:val="009F3AD5"/>
    <w:rsid w:val="009F3F2D"/>
    <w:rsid w:val="009F445C"/>
    <w:rsid w:val="009F4AC0"/>
    <w:rsid w:val="009F5116"/>
    <w:rsid w:val="009F691E"/>
    <w:rsid w:val="009F74D2"/>
    <w:rsid w:val="009F750C"/>
    <w:rsid w:val="009F7A26"/>
    <w:rsid w:val="009F7D9C"/>
    <w:rsid w:val="00A00A4A"/>
    <w:rsid w:val="00A022E3"/>
    <w:rsid w:val="00A02CFB"/>
    <w:rsid w:val="00A03AF7"/>
    <w:rsid w:val="00A043E8"/>
    <w:rsid w:val="00A04532"/>
    <w:rsid w:val="00A04A17"/>
    <w:rsid w:val="00A0518D"/>
    <w:rsid w:val="00A053E7"/>
    <w:rsid w:val="00A054FE"/>
    <w:rsid w:val="00A10ED5"/>
    <w:rsid w:val="00A11640"/>
    <w:rsid w:val="00A11728"/>
    <w:rsid w:val="00A128DD"/>
    <w:rsid w:val="00A12DF6"/>
    <w:rsid w:val="00A1334F"/>
    <w:rsid w:val="00A1398E"/>
    <w:rsid w:val="00A14314"/>
    <w:rsid w:val="00A1567D"/>
    <w:rsid w:val="00A159EE"/>
    <w:rsid w:val="00A16093"/>
    <w:rsid w:val="00A163B1"/>
    <w:rsid w:val="00A165A6"/>
    <w:rsid w:val="00A169DC"/>
    <w:rsid w:val="00A16AE5"/>
    <w:rsid w:val="00A16BCA"/>
    <w:rsid w:val="00A1719C"/>
    <w:rsid w:val="00A175CD"/>
    <w:rsid w:val="00A20042"/>
    <w:rsid w:val="00A200FC"/>
    <w:rsid w:val="00A20300"/>
    <w:rsid w:val="00A20B4F"/>
    <w:rsid w:val="00A20DC6"/>
    <w:rsid w:val="00A221EE"/>
    <w:rsid w:val="00A23C54"/>
    <w:rsid w:val="00A24368"/>
    <w:rsid w:val="00A25884"/>
    <w:rsid w:val="00A25CB5"/>
    <w:rsid w:val="00A26995"/>
    <w:rsid w:val="00A26B35"/>
    <w:rsid w:val="00A270DF"/>
    <w:rsid w:val="00A277A4"/>
    <w:rsid w:val="00A277C9"/>
    <w:rsid w:val="00A27C38"/>
    <w:rsid w:val="00A30BD9"/>
    <w:rsid w:val="00A30F52"/>
    <w:rsid w:val="00A31610"/>
    <w:rsid w:val="00A31702"/>
    <w:rsid w:val="00A31BB0"/>
    <w:rsid w:val="00A332E1"/>
    <w:rsid w:val="00A34AFE"/>
    <w:rsid w:val="00A34C01"/>
    <w:rsid w:val="00A35E3F"/>
    <w:rsid w:val="00A36088"/>
    <w:rsid w:val="00A36228"/>
    <w:rsid w:val="00A362D7"/>
    <w:rsid w:val="00A3657C"/>
    <w:rsid w:val="00A36830"/>
    <w:rsid w:val="00A36CC4"/>
    <w:rsid w:val="00A37103"/>
    <w:rsid w:val="00A37A12"/>
    <w:rsid w:val="00A417BE"/>
    <w:rsid w:val="00A41A35"/>
    <w:rsid w:val="00A420F7"/>
    <w:rsid w:val="00A43247"/>
    <w:rsid w:val="00A43AD8"/>
    <w:rsid w:val="00A43C08"/>
    <w:rsid w:val="00A43DAE"/>
    <w:rsid w:val="00A43F0A"/>
    <w:rsid w:val="00A4490A"/>
    <w:rsid w:val="00A44C88"/>
    <w:rsid w:val="00A44D3C"/>
    <w:rsid w:val="00A45125"/>
    <w:rsid w:val="00A4600D"/>
    <w:rsid w:val="00A46957"/>
    <w:rsid w:val="00A46FA5"/>
    <w:rsid w:val="00A47116"/>
    <w:rsid w:val="00A4744A"/>
    <w:rsid w:val="00A50E43"/>
    <w:rsid w:val="00A51418"/>
    <w:rsid w:val="00A51F27"/>
    <w:rsid w:val="00A53647"/>
    <w:rsid w:val="00A54306"/>
    <w:rsid w:val="00A54394"/>
    <w:rsid w:val="00A54D7D"/>
    <w:rsid w:val="00A55728"/>
    <w:rsid w:val="00A560FB"/>
    <w:rsid w:val="00A57CEC"/>
    <w:rsid w:val="00A6041E"/>
    <w:rsid w:val="00A605F1"/>
    <w:rsid w:val="00A6198F"/>
    <w:rsid w:val="00A61BA7"/>
    <w:rsid w:val="00A61FF5"/>
    <w:rsid w:val="00A628D8"/>
    <w:rsid w:val="00A63E8C"/>
    <w:rsid w:val="00A63F74"/>
    <w:rsid w:val="00A64289"/>
    <w:rsid w:val="00A6439E"/>
    <w:rsid w:val="00A65056"/>
    <w:rsid w:val="00A65125"/>
    <w:rsid w:val="00A663CE"/>
    <w:rsid w:val="00A671DD"/>
    <w:rsid w:val="00A672BA"/>
    <w:rsid w:val="00A673C0"/>
    <w:rsid w:val="00A6755E"/>
    <w:rsid w:val="00A67713"/>
    <w:rsid w:val="00A67C9B"/>
    <w:rsid w:val="00A70A4D"/>
    <w:rsid w:val="00A71E1D"/>
    <w:rsid w:val="00A71E51"/>
    <w:rsid w:val="00A7202F"/>
    <w:rsid w:val="00A72D8D"/>
    <w:rsid w:val="00A73177"/>
    <w:rsid w:val="00A7417C"/>
    <w:rsid w:val="00A7491B"/>
    <w:rsid w:val="00A74FCA"/>
    <w:rsid w:val="00A75B09"/>
    <w:rsid w:val="00A769D0"/>
    <w:rsid w:val="00A76E31"/>
    <w:rsid w:val="00A77382"/>
    <w:rsid w:val="00A77CC0"/>
    <w:rsid w:val="00A803D7"/>
    <w:rsid w:val="00A80ADA"/>
    <w:rsid w:val="00A81406"/>
    <w:rsid w:val="00A8150D"/>
    <w:rsid w:val="00A81727"/>
    <w:rsid w:val="00A82EE9"/>
    <w:rsid w:val="00A83431"/>
    <w:rsid w:val="00A83BD5"/>
    <w:rsid w:val="00A8555D"/>
    <w:rsid w:val="00A86235"/>
    <w:rsid w:val="00A86252"/>
    <w:rsid w:val="00A8683D"/>
    <w:rsid w:val="00A86B30"/>
    <w:rsid w:val="00A90023"/>
    <w:rsid w:val="00A914E0"/>
    <w:rsid w:val="00A915E1"/>
    <w:rsid w:val="00A916FD"/>
    <w:rsid w:val="00A91CFB"/>
    <w:rsid w:val="00A91F9B"/>
    <w:rsid w:val="00A9359C"/>
    <w:rsid w:val="00A93941"/>
    <w:rsid w:val="00A9477D"/>
    <w:rsid w:val="00A94C07"/>
    <w:rsid w:val="00A95364"/>
    <w:rsid w:val="00A95D31"/>
    <w:rsid w:val="00A9677E"/>
    <w:rsid w:val="00A975DE"/>
    <w:rsid w:val="00AA1D59"/>
    <w:rsid w:val="00AA2CA6"/>
    <w:rsid w:val="00AA2DB6"/>
    <w:rsid w:val="00AA31AE"/>
    <w:rsid w:val="00AA3810"/>
    <w:rsid w:val="00AA3927"/>
    <w:rsid w:val="00AA4122"/>
    <w:rsid w:val="00AA4AFA"/>
    <w:rsid w:val="00AA59A6"/>
    <w:rsid w:val="00AA5FA0"/>
    <w:rsid w:val="00AA6A14"/>
    <w:rsid w:val="00AA6DC4"/>
    <w:rsid w:val="00AA6F24"/>
    <w:rsid w:val="00AA7275"/>
    <w:rsid w:val="00AB03C5"/>
    <w:rsid w:val="00AB15CF"/>
    <w:rsid w:val="00AB3DD0"/>
    <w:rsid w:val="00AB4429"/>
    <w:rsid w:val="00AB495C"/>
    <w:rsid w:val="00AB4970"/>
    <w:rsid w:val="00AB4B7F"/>
    <w:rsid w:val="00AB4F2A"/>
    <w:rsid w:val="00AB4F52"/>
    <w:rsid w:val="00AB5260"/>
    <w:rsid w:val="00AB537A"/>
    <w:rsid w:val="00AB56B2"/>
    <w:rsid w:val="00AB59C1"/>
    <w:rsid w:val="00AB6518"/>
    <w:rsid w:val="00AB6DF1"/>
    <w:rsid w:val="00AB72ED"/>
    <w:rsid w:val="00AB7F6A"/>
    <w:rsid w:val="00AC0203"/>
    <w:rsid w:val="00AC0232"/>
    <w:rsid w:val="00AC232D"/>
    <w:rsid w:val="00AC31E6"/>
    <w:rsid w:val="00AC410E"/>
    <w:rsid w:val="00AC4B47"/>
    <w:rsid w:val="00AC56AB"/>
    <w:rsid w:val="00AC5898"/>
    <w:rsid w:val="00AC6119"/>
    <w:rsid w:val="00AC67CD"/>
    <w:rsid w:val="00AC6CAA"/>
    <w:rsid w:val="00AC6EAF"/>
    <w:rsid w:val="00AC7B5D"/>
    <w:rsid w:val="00AC7C46"/>
    <w:rsid w:val="00AC7CF8"/>
    <w:rsid w:val="00AD03AC"/>
    <w:rsid w:val="00AD050E"/>
    <w:rsid w:val="00AD0B24"/>
    <w:rsid w:val="00AD0B81"/>
    <w:rsid w:val="00AD1695"/>
    <w:rsid w:val="00AD1AC2"/>
    <w:rsid w:val="00AD202F"/>
    <w:rsid w:val="00AD2E2F"/>
    <w:rsid w:val="00AD2F0F"/>
    <w:rsid w:val="00AD3127"/>
    <w:rsid w:val="00AD38EC"/>
    <w:rsid w:val="00AD4445"/>
    <w:rsid w:val="00AD4B38"/>
    <w:rsid w:val="00AD4CE2"/>
    <w:rsid w:val="00AD4F87"/>
    <w:rsid w:val="00AD589B"/>
    <w:rsid w:val="00AD5C97"/>
    <w:rsid w:val="00AD5FDA"/>
    <w:rsid w:val="00AD66AC"/>
    <w:rsid w:val="00AD6BB0"/>
    <w:rsid w:val="00AD6DB5"/>
    <w:rsid w:val="00AD773A"/>
    <w:rsid w:val="00AD7D24"/>
    <w:rsid w:val="00AE0E92"/>
    <w:rsid w:val="00AE100F"/>
    <w:rsid w:val="00AE16AE"/>
    <w:rsid w:val="00AE20BB"/>
    <w:rsid w:val="00AE37AB"/>
    <w:rsid w:val="00AE3D9D"/>
    <w:rsid w:val="00AE498A"/>
    <w:rsid w:val="00AE5EA3"/>
    <w:rsid w:val="00AE6F44"/>
    <w:rsid w:val="00AE7587"/>
    <w:rsid w:val="00AE7E32"/>
    <w:rsid w:val="00AF0F5B"/>
    <w:rsid w:val="00AF1208"/>
    <w:rsid w:val="00AF1EE4"/>
    <w:rsid w:val="00AF1F30"/>
    <w:rsid w:val="00AF250C"/>
    <w:rsid w:val="00AF289B"/>
    <w:rsid w:val="00AF2A65"/>
    <w:rsid w:val="00AF2F8E"/>
    <w:rsid w:val="00AF3095"/>
    <w:rsid w:val="00AF46B5"/>
    <w:rsid w:val="00AF4B5F"/>
    <w:rsid w:val="00AF4E3B"/>
    <w:rsid w:val="00AF4EFC"/>
    <w:rsid w:val="00AF52D5"/>
    <w:rsid w:val="00AF566B"/>
    <w:rsid w:val="00AF5B80"/>
    <w:rsid w:val="00AF5BAA"/>
    <w:rsid w:val="00AF5D43"/>
    <w:rsid w:val="00AF78CD"/>
    <w:rsid w:val="00B005A8"/>
    <w:rsid w:val="00B0087A"/>
    <w:rsid w:val="00B01CF9"/>
    <w:rsid w:val="00B03588"/>
    <w:rsid w:val="00B03858"/>
    <w:rsid w:val="00B03A04"/>
    <w:rsid w:val="00B03C57"/>
    <w:rsid w:val="00B03C84"/>
    <w:rsid w:val="00B047A5"/>
    <w:rsid w:val="00B04FF9"/>
    <w:rsid w:val="00B050D3"/>
    <w:rsid w:val="00B05188"/>
    <w:rsid w:val="00B057A9"/>
    <w:rsid w:val="00B06228"/>
    <w:rsid w:val="00B06445"/>
    <w:rsid w:val="00B06696"/>
    <w:rsid w:val="00B06855"/>
    <w:rsid w:val="00B06926"/>
    <w:rsid w:val="00B07621"/>
    <w:rsid w:val="00B1066F"/>
    <w:rsid w:val="00B1253E"/>
    <w:rsid w:val="00B1335C"/>
    <w:rsid w:val="00B133E4"/>
    <w:rsid w:val="00B14B18"/>
    <w:rsid w:val="00B14C64"/>
    <w:rsid w:val="00B1507F"/>
    <w:rsid w:val="00B152B1"/>
    <w:rsid w:val="00B15688"/>
    <w:rsid w:val="00B16573"/>
    <w:rsid w:val="00B16BD3"/>
    <w:rsid w:val="00B2186D"/>
    <w:rsid w:val="00B21A6A"/>
    <w:rsid w:val="00B224C9"/>
    <w:rsid w:val="00B22537"/>
    <w:rsid w:val="00B22806"/>
    <w:rsid w:val="00B239AA"/>
    <w:rsid w:val="00B23D4F"/>
    <w:rsid w:val="00B23DDE"/>
    <w:rsid w:val="00B24E49"/>
    <w:rsid w:val="00B252DC"/>
    <w:rsid w:val="00B253F0"/>
    <w:rsid w:val="00B256C0"/>
    <w:rsid w:val="00B257BF"/>
    <w:rsid w:val="00B25C3D"/>
    <w:rsid w:val="00B265A0"/>
    <w:rsid w:val="00B26822"/>
    <w:rsid w:val="00B26A83"/>
    <w:rsid w:val="00B27005"/>
    <w:rsid w:val="00B27529"/>
    <w:rsid w:val="00B27DF3"/>
    <w:rsid w:val="00B30109"/>
    <w:rsid w:val="00B301B8"/>
    <w:rsid w:val="00B304B6"/>
    <w:rsid w:val="00B315BC"/>
    <w:rsid w:val="00B32485"/>
    <w:rsid w:val="00B327ED"/>
    <w:rsid w:val="00B33813"/>
    <w:rsid w:val="00B33937"/>
    <w:rsid w:val="00B349B4"/>
    <w:rsid w:val="00B3518F"/>
    <w:rsid w:val="00B35B8A"/>
    <w:rsid w:val="00B35C21"/>
    <w:rsid w:val="00B36209"/>
    <w:rsid w:val="00B3673E"/>
    <w:rsid w:val="00B37545"/>
    <w:rsid w:val="00B375D5"/>
    <w:rsid w:val="00B377A8"/>
    <w:rsid w:val="00B407BE"/>
    <w:rsid w:val="00B40C90"/>
    <w:rsid w:val="00B4215B"/>
    <w:rsid w:val="00B423CB"/>
    <w:rsid w:val="00B42748"/>
    <w:rsid w:val="00B43735"/>
    <w:rsid w:val="00B437A0"/>
    <w:rsid w:val="00B43925"/>
    <w:rsid w:val="00B43EC6"/>
    <w:rsid w:val="00B44756"/>
    <w:rsid w:val="00B44B9B"/>
    <w:rsid w:val="00B4504D"/>
    <w:rsid w:val="00B4509B"/>
    <w:rsid w:val="00B45704"/>
    <w:rsid w:val="00B45958"/>
    <w:rsid w:val="00B45FA4"/>
    <w:rsid w:val="00B460A9"/>
    <w:rsid w:val="00B460F3"/>
    <w:rsid w:val="00B46745"/>
    <w:rsid w:val="00B46A8A"/>
    <w:rsid w:val="00B470D9"/>
    <w:rsid w:val="00B476D3"/>
    <w:rsid w:val="00B50FB0"/>
    <w:rsid w:val="00B5177F"/>
    <w:rsid w:val="00B52089"/>
    <w:rsid w:val="00B52921"/>
    <w:rsid w:val="00B5299F"/>
    <w:rsid w:val="00B53C29"/>
    <w:rsid w:val="00B54D2D"/>
    <w:rsid w:val="00B55338"/>
    <w:rsid w:val="00B556AF"/>
    <w:rsid w:val="00B57AFF"/>
    <w:rsid w:val="00B57E3B"/>
    <w:rsid w:val="00B60405"/>
    <w:rsid w:val="00B60916"/>
    <w:rsid w:val="00B60F49"/>
    <w:rsid w:val="00B61376"/>
    <w:rsid w:val="00B62411"/>
    <w:rsid w:val="00B630F0"/>
    <w:rsid w:val="00B63238"/>
    <w:rsid w:val="00B6389C"/>
    <w:rsid w:val="00B643AA"/>
    <w:rsid w:val="00B64BF3"/>
    <w:rsid w:val="00B65CD4"/>
    <w:rsid w:val="00B660EB"/>
    <w:rsid w:val="00B668F0"/>
    <w:rsid w:val="00B67267"/>
    <w:rsid w:val="00B67A1A"/>
    <w:rsid w:val="00B67B29"/>
    <w:rsid w:val="00B67CEF"/>
    <w:rsid w:val="00B70137"/>
    <w:rsid w:val="00B70449"/>
    <w:rsid w:val="00B71E2F"/>
    <w:rsid w:val="00B7305F"/>
    <w:rsid w:val="00B7338B"/>
    <w:rsid w:val="00B73752"/>
    <w:rsid w:val="00B737B2"/>
    <w:rsid w:val="00B7414F"/>
    <w:rsid w:val="00B7473D"/>
    <w:rsid w:val="00B74938"/>
    <w:rsid w:val="00B75564"/>
    <w:rsid w:val="00B75831"/>
    <w:rsid w:val="00B75F1F"/>
    <w:rsid w:val="00B7605D"/>
    <w:rsid w:val="00B76942"/>
    <w:rsid w:val="00B77185"/>
    <w:rsid w:val="00B777D7"/>
    <w:rsid w:val="00B7790C"/>
    <w:rsid w:val="00B77FB3"/>
    <w:rsid w:val="00B814DB"/>
    <w:rsid w:val="00B824A3"/>
    <w:rsid w:val="00B8373C"/>
    <w:rsid w:val="00B84074"/>
    <w:rsid w:val="00B84A18"/>
    <w:rsid w:val="00B85C6D"/>
    <w:rsid w:val="00B86118"/>
    <w:rsid w:val="00B863CF"/>
    <w:rsid w:val="00B8721C"/>
    <w:rsid w:val="00B8744E"/>
    <w:rsid w:val="00B87AE3"/>
    <w:rsid w:val="00B90317"/>
    <w:rsid w:val="00B90945"/>
    <w:rsid w:val="00B911B5"/>
    <w:rsid w:val="00B91572"/>
    <w:rsid w:val="00B92F3A"/>
    <w:rsid w:val="00B937C7"/>
    <w:rsid w:val="00B93C54"/>
    <w:rsid w:val="00B94B4D"/>
    <w:rsid w:val="00B94D68"/>
    <w:rsid w:val="00B9543E"/>
    <w:rsid w:val="00B9549E"/>
    <w:rsid w:val="00B9555A"/>
    <w:rsid w:val="00B95805"/>
    <w:rsid w:val="00B958B7"/>
    <w:rsid w:val="00B95B23"/>
    <w:rsid w:val="00B9640D"/>
    <w:rsid w:val="00B9680A"/>
    <w:rsid w:val="00B975A5"/>
    <w:rsid w:val="00B9785B"/>
    <w:rsid w:val="00B97CC0"/>
    <w:rsid w:val="00B97DE0"/>
    <w:rsid w:val="00BA0A17"/>
    <w:rsid w:val="00BA0AA5"/>
    <w:rsid w:val="00BA0EC4"/>
    <w:rsid w:val="00BA1DE8"/>
    <w:rsid w:val="00BA243F"/>
    <w:rsid w:val="00BA25AF"/>
    <w:rsid w:val="00BA2B5A"/>
    <w:rsid w:val="00BA2DE9"/>
    <w:rsid w:val="00BA305D"/>
    <w:rsid w:val="00BA428C"/>
    <w:rsid w:val="00BA4611"/>
    <w:rsid w:val="00BA491F"/>
    <w:rsid w:val="00BA5FA7"/>
    <w:rsid w:val="00BA629F"/>
    <w:rsid w:val="00BA718A"/>
    <w:rsid w:val="00BA789C"/>
    <w:rsid w:val="00BA7D80"/>
    <w:rsid w:val="00BA7FF7"/>
    <w:rsid w:val="00BB02BA"/>
    <w:rsid w:val="00BB03CE"/>
    <w:rsid w:val="00BB0455"/>
    <w:rsid w:val="00BB050B"/>
    <w:rsid w:val="00BB050E"/>
    <w:rsid w:val="00BB0D86"/>
    <w:rsid w:val="00BB13B8"/>
    <w:rsid w:val="00BB1406"/>
    <w:rsid w:val="00BB1E46"/>
    <w:rsid w:val="00BB30C0"/>
    <w:rsid w:val="00BB353D"/>
    <w:rsid w:val="00BB4793"/>
    <w:rsid w:val="00BB4917"/>
    <w:rsid w:val="00BB4EF0"/>
    <w:rsid w:val="00BB4F5E"/>
    <w:rsid w:val="00BB55A1"/>
    <w:rsid w:val="00BB57A8"/>
    <w:rsid w:val="00BB71BD"/>
    <w:rsid w:val="00BB724A"/>
    <w:rsid w:val="00BB7B29"/>
    <w:rsid w:val="00BB7EC9"/>
    <w:rsid w:val="00BC005C"/>
    <w:rsid w:val="00BC0216"/>
    <w:rsid w:val="00BC0DC4"/>
    <w:rsid w:val="00BC0F14"/>
    <w:rsid w:val="00BC0F27"/>
    <w:rsid w:val="00BC1562"/>
    <w:rsid w:val="00BC1B4D"/>
    <w:rsid w:val="00BC2AAF"/>
    <w:rsid w:val="00BC36C8"/>
    <w:rsid w:val="00BC3BF1"/>
    <w:rsid w:val="00BC5177"/>
    <w:rsid w:val="00BC5756"/>
    <w:rsid w:val="00BC5FD2"/>
    <w:rsid w:val="00BC7BF1"/>
    <w:rsid w:val="00BD025F"/>
    <w:rsid w:val="00BD0286"/>
    <w:rsid w:val="00BD0614"/>
    <w:rsid w:val="00BD1158"/>
    <w:rsid w:val="00BD13A4"/>
    <w:rsid w:val="00BD15AF"/>
    <w:rsid w:val="00BD180F"/>
    <w:rsid w:val="00BD272D"/>
    <w:rsid w:val="00BD4BF2"/>
    <w:rsid w:val="00BD5235"/>
    <w:rsid w:val="00BD547E"/>
    <w:rsid w:val="00BD54F3"/>
    <w:rsid w:val="00BD5B27"/>
    <w:rsid w:val="00BD6696"/>
    <w:rsid w:val="00BD6904"/>
    <w:rsid w:val="00BD6F60"/>
    <w:rsid w:val="00BD6FFD"/>
    <w:rsid w:val="00BE0128"/>
    <w:rsid w:val="00BE0B11"/>
    <w:rsid w:val="00BE0CD2"/>
    <w:rsid w:val="00BE17AE"/>
    <w:rsid w:val="00BE25FB"/>
    <w:rsid w:val="00BE2AC6"/>
    <w:rsid w:val="00BE3300"/>
    <w:rsid w:val="00BE3B17"/>
    <w:rsid w:val="00BE40FA"/>
    <w:rsid w:val="00BE43C4"/>
    <w:rsid w:val="00BE4735"/>
    <w:rsid w:val="00BE4B28"/>
    <w:rsid w:val="00BE5304"/>
    <w:rsid w:val="00BE542F"/>
    <w:rsid w:val="00BE55FA"/>
    <w:rsid w:val="00BE5E3D"/>
    <w:rsid w:val="00BE5EA5"/>
    <w:rsid w:val="00BE5FF8"/>
    <w:rsid w:val="00BE6E09"/>
    <w:rsid w:val="00BE71AF"/>
    <w:rsid w:val="00BF0509"/>
    <w:rsid w:val="00BF0671"/>
    <w:rsid w:val="00BF0CB3"/>
    <w:rsid w:val="00BF1087"/>
    <w:rsid w:val="00BF110A"/>
    <w:rsid w:val="00BF166B"/>
    <w:rsid w:val="00BF190D"/>
    <w:rsid w:val="00BF26FD"/>
    <w:rsid w:val="00BF32AF"/>
    <w:rsid w:val="00BF3C96"/>
    <w:rsid w:val="00BF41D3"/>
    <w:rsid w:val="00BF68EE"/>
    <w:rsid w:val="00BF6C6A"/>
    <w:rsid w:val="00BF7C82"/>
    <w:rsid w:val="00BF7D0C"/>
    <w:rsid w:val="00C00C5B"/>
    <w:rsid w:val="00C00DCE"/>
    <w:rsid w:val="00C00F6A"/>
    <w:rsid w:val="00C01788"/>
    <w:rsid w:val="00C01D33"/>
    <w:rsid w:val="00C022A7"/>
    <w:rsid w:val="00C052F0"/>
    <w:rsid w:val="00C05805"/>
    <w:rsid w:val="00C0589A"/>
    <w:rsid w:val="00C05E3B"/>
    <w:rsid w:val="00C06CC0"/>
    <w:rsid w:val="00C06F92"/>
    <w:rsid w:val="00C06FAE"/>
    <w:rsid w:val="00C074D3"/>
    <w:rsid w:val="00C07516"/>
    <w:rsid w:val="00C07E21"/>
    <w:rsid w:val="00C07F63"/>
    <w:rsid w:val="00C10113"/>
    <w:rsid w:val="00C116E3"/>
    <w:rsid w:val="00C11C0C"/>
    <w:rsid w:val="00C1246D"/>
    <w:rsid w:val="00C12473"/>
    <w:rsid w:val="00C124AC"/>
    <w:rsid w:val="00C1294B"/>
    <w:rsid w:val="00C12FAE"/>
    <w:rsid w:val="00C133CD"/>
    <w:rsid w:val="00C1347B"/>
    <w:rsid w:val="00C13D5A"/>
    <w:rsid w:val="00C14372"/>
    <w:rsid w:val="00C148DD"/>
    <w:rsid w:val="00C14F16"/>
    <w:rsid w:val="00C15058"/>
    <w:rsid w:val="00C159EB"/>
    <w:rsid w:val="00C15C2B"/>
    <w:rsid w:val="00C15D00"/>
    <w:rsid w:val="00C161A5"/>
    <w:rsid w:val="00C167AB"/>
    <w:rsid w:val="00C169C2"/>
    <w:rsid w:val="00C16B7D"/>
    <w:rsid w:val="00C1785B"/>
    <w:rsid w:val="00C20858"/>
    <w:rsid w:val="00C21598"/>
    <w:rsid w:val="00C216EA"/>
    <w:rsid w:val="00C22539"/>
    <w:rsid w:val="00C227BF"/>
    <w:rsid w:val="00C2323E"/>
    <w:rsid w:val="00C2503D"/>
    <w:rsid w:val="00C26EA5"/>
    <w:rsid w:val="00C274C9"/>
    <w:rsid w:val="00C27560"/>
    <w:rsid w:val="00C27BED"/>
    <w:rsid w:val="00C30F45"/>
    <w:rsid w:val="00C312B8"/>
    <w:rsid w:val="00C317C8"/>
    <w:rsid w:val="00C31F1B"/>
    <w:rsid w:val="00C32B83"/>
    <w:rsid w:val="00C33285"/>
    <w:rsid w:val="00C3606F"/>
    <w:rsid w:val="00C3614D"/>
    <w:rsid w:val="00C367E5"/>
    <w:rsid w:val="00C37153"/>
    <w:rsid w:val="00C37B6E"/>
    <w:rsid w:val="00C403CA"/>
    <w:rsid w:val="00C42B83"/>
    <w:rsid w:val="00C430B8"/>
    <w:rsid w:val="00C4322A"/>
    <w:rsid w:val="00C44A2C"/>
    <w:rsid w:val="00C4531E"/>
    <w:rsid w:val="00C46143"/>
    <w:rsid w:val="00C46645"/>
    <w:rsid w:val="00C4698A"/>
    <w:rsid w:val="00C47202"/>
    <w:rsid w:val="00C47BCF"/>
    <w:rsid w:val="00C50594"/>
    <w:rsid w:val="00C50C22"/>
    <w:rsid w:val="00C5210A"/>
    <w:rsid w:val="00C52372"/>
    <w:rsid w:val="00C5242E"/>
    <w:rsid w:val="00C5255F"/>
    <w:rsid w:val="00C54272"/>
    <w:rsid w:val="00C56225"/>
    <w:rsid w:val="00C576C0"/>
    <w:rsid w:val="00C604F1"/>
    <w:rsid w:val="00C6062F"/>
    <w:rsid w:val="00C61E7B"/>
    <w:rsid w:val="00C62CCD"/>
    <w:rsid w:val="00C6359A"/>
    <w:rsid w:val="00C637B4"/>
    <w:rsid w:val="00C63892"/>
    <w:rsid w:val="00C64589"/>
    <w:rsid w:val="00C649BA"/>
    <w:rsid w:val="00C64BB6"/>
    <w:rsid w:val="00C6547F"/>
    <w:rsid w:val="00C654C5"/>
    <w:rsid w:val="00C65B3A"/>
    <w:rsid w:val="00C65CB4"/>
    <w:rsid w:val="00C66251"/>
    <w:rsid w:val="00C6627F"/>
    <w:rsid w:val="00C66365"/>
    <w:rsid w:val="00C66CCD"/>
    <w:rsid w:val="00C67BDC"/>
    <w:rsid w:val="00C705DA"/>
    <w:rsid w:val="00C70B0D"/>
    <w:rsid w:val="00C7177E"/>
    <w:rsid w:val="00C71D52"/>
    <w:rsid w:val="00C724B7"/>
    <w:rsid w:val="00C724D1"/>
    <w:rsid w:val="00C72CAE"/>
    <w:rsid w:val="00C73A3A"/>
    <w:rsid w:val="00C744D6"/>
    <w:rsid w:val="00C74BC8"/>
    <w:rsid w:val="00C74D3B"/>
    <w:rsid w:val="00C7529F"/>
    <w:rsid w:val="00C7602C"/>
    <w:rsid w:val="00C761E3"/>
    <w:rsid w:val="00C7650F"/>
    <w:rsid w:val="00C77F33"/>
    <w:rsid w:val="00C8068C"/>
    <w:rsid w:val="00C80D83"/>
    <w:rsid w:val="00C80F4E"/>
    <w:rsid w:val="00C81118"/>
    <w:rsid w:val="00C81F66"/>
    <w:rsid w:val="00C82B21"/>
    <w:rsid w:val="00C84B22"/>
    <w:rsid w:val="00C84C2F"/>
    <w:rsid w:val="00C854FD"/>
    <w:rsid w:val="00C8590B"/>
    <w:rsid w:val="00C86271"/>
    <w:rsid w:val="00C8694E"/>
    <w:rsid w:val="00C86DB9"/>
    <w:rsid w:val="00C87135"/>
    <w:rsid w:val="00C873A6"/>
    <w:rsid w:val="00C879C0"/>
    <w:rsid w:val="00C90717"/>
    <w:rsid w:val="00C90C24"/>
    <w:rsid w:val="00C91208"/>
    <w:rsid w:val="00C9161B"/>
    <w:rsid w:val="00C919DF"/>
    <w:rsid w:val="00C9202C"/>
    <w:rsid w:val="00C9218B"/>
    <w:rsid w:val="00C92720"/>
    <w:rsid w:val="00C92BCA"/>
    <w:rsid w:val="00C92CEB"/>
    <w:rsid w:val="00C933D3"/>
    <w:rsid w:val="00C935C3"/>
    <w:rsid w:val="00C9376E"/>
    <w:rsid w:val="00C93948"/>
    <w:rsid w:val="00C93DC7"/>
    <w:rsid w:val="00C94300"/>
    <w:rsid w:val="00C94EA3"/>
    <w:rsid w:val="00C955B6"/>
    <w:rsid w:val="00C96391"/>
    <w:rsid w:val="00C963B6"/>
    <w:rsid w:val="00C96CBD"/>
    <w:rsid w:val="00CA0360"/>
    <w:rsid w:val="00CA0F3B"/>
    <w:rsid w:val="00CA167D"/>
    <w:rsid w:val="00CA1B6E"/>
    <w:rsid w:val="00CA2698"/>
    <w:rsid w:val="00CA3192"/>
    <w:rsid w:val="00CA344A"/>
    <w:rsid w:val="00CA49C7"/>
    <w:rsid w:val="00CA4D96"/>
    <w:rsid w:val="00CA5020"/>
    <w:rsid w:val="00CA548B"/>
    <w:rsid w:val="00CA6802"/>
    <w:rsid w:val="00CA6B44"/>
    <w:rsid w:val="00CA6C8B"/>
    <w:rsid w:val="00CA6D21"/>
    <w:rsid w:val="00CA6DA8"/>
    <w:rsid w:val="00CB0375"/>
    <w:rsid w:val="00CB0832"/>
    <w:rsid w:val="00CB1AD0"/>
    <w:rsid w:val="00CB1B05"/>
    <w:rsid w:val="00CB27FA"/>
    <w:rsid w:val="00CB32A7"/>
    <w:rsid w:val="00CB375B"/>
    <w:rsid w:val="00CB6BE9"/>
    <w:rsid w:val="00CB7259"/>
    <w:rsid w:val="00CC03A7"/>
    <w:rsid w:val="00CC064C"/>
    <w:rsid w:val="00CC11B9"/>
    <w:rsid w:val="00CC2A59"/>
    <w:rsid w:val="00CC2F81"/>
    <w:rsid w:val="00CC32EA"/>
    <w:rsid w:val="00CC5692"/>
    <w:rsid w:val="00CC56CD"/>
    <w:rsid w:val="00CC587E"/>
    <w:rsid w:val="00CC5D9E"/>
    <w:rsid w:val="00CC6CFC"/>
    <w:rsid w:val="00CC75CD"/>
    <w:rsid w:val="00CD21FA"/>
    <w:rsid w:val="00CD244B"/>
    <w:rsid w:val="00CD2D02"/>
    <w:rsid w:val="00CD2DEE"/>
    <w:rsid w:val="00CD389D"/>
    <w:rsid w:val="00CD3C15"/>
    <w:rsid w:val="00CD4188"/>
    <w:rsid w:val="00CD4425"/>
    <w:rsid w:val="00CD443C"/>
    <w:rsid w:val="00CD466B"/>
    <w:rsid w:val="00CD541C"/>
    <w:rsid w:val="00CD58C4"/>
    <w:rsid w:val="00CD74D7"/>
    <w:rsid w:val="00CD77BB"/>
    <w:rsid w:val="00CE03BD"/>
    <w:rsid w:val="00CE0852"/>
    <w:rsid w:val="00CE122F"/>
    <w:rsid w:val="00CE1529"/>
    <w:rsid w:val="00CE1C8C"/>
    <w:rsid w:val="00CE1CF0"/>
    <w:rsid w:val="00CE223D"/>
    <w:rsid w:val="00CE3CBB"/>
    <w:rsid w:val="00CE5269"/>
    <w:rsid w:val="00CE6F11"/>
    <w:rsid w:val="00CE71E1"/>
    <w:rsid w:val="00CE71E4"/>
    <w:rsid w:val="00CE7334"/>
    <w:rsid w:val="00CE74CA"/>
    <w:rsid w:val="00CE7C86"/>
    <w:rsid w:val="00CF06C8"/>
    <w:rsid w:val="00CF125B"/>
    <w:rsid w:val="00CF1C77"/>
    <w:rsid w:val="00CF1DBA"/>
    <w:rsid w:val="00CF22B5"/>
    <w:rsid w:val="00CF23A1"/>
    <w:rsid w:val="00CF2472"/>
    <w:rsid w:val="00CF2F16"/>
    <w:rsid w:val="00CF343D"/>
    <w:rsid w:val="00CF347D"/>
    <w:rsid w:val="00CF35F9"/>
    <w:rsid w:val="00CF479B"/>
    <w:rsid w:val="00CF4962"/>
    <w:rsid w:val="00CF4B31"/>
    <w:rsid w:val="00CF506E"/>
    <w:rsid w:val="00CF541A"/>
    <w:rsid w:val="00CF5BC7"/>
    <w:rsid w:val="00CF6999"/>
    <w:rsid w:val="00CF6E26"/>
    <w:rsid w:val="00CF73ED"/>
    <w:rsid w:val="00D0068A"/>
    <w:rsid w:val="00D010FB"/>
    <w:rsid w:val="00D01D7F"/>
    <w:rsid w:val="00D02A71"/>
    <w:rsid w:val="00D02ADB"/>
    <w:rsid w:val="00D02E5B"/>
    <w:rsid w:val="00D04251"/>
    <w:rsid w:val="00D04BE6"/>
    <w:rsid w:val="00D04BEA"/>
    <w:rsid w:val="00D04F4A"/>
    <w:rsid w:val="00D06312"/>
    <w:rsid w:val="00D07C61"/>
    <w:rsid w:val="00D10240"/>
    <w:rsid w:val="00D104FF"/>
    <w:rsid w:val="00D11059"/>
    <w:rsid w:val="00D112F3"/>
    <w:rsid w:val="00D12512"/>
    <w:rsid w:val="00D127D6"/>
    <w:rsid w:val="00D13551"/>
    <w:rsid w:val="00D13E5A"/>
    <w:rsid w:val="00D140F2"/>
    <w:rsid w:val="00D14128"/>
    <w:rsid w:val="00D1447F"/>
    <w:rsid w:val="00D15910"/>
    <w:rsid w:val="00D15E53"/>
    <w:rsid w:val="00D165BF"/>
    <w:rsid w:val="00D168D8"/>
    <w:rsid w:val="00D17231"/>
    <w:rsid w:val="00D20BFD"/>
    <w:rsid w:val="00D21079"/>
    <w:rsid w:val="00D210DB"/>
    <w:rsid w:val="00D2139E"/>
    <w:rsid w:val="00D21B81"/>
    <w:rsid w:val="00D21CA3"/>
    <w:rsid w:val="00D21E8E"/>
    <w:rsid w:val="00D22946"/>
    <w:rsid w:val="00D22B32"/>
    <w:rsid w:val="00D22D33"/>
    <w:rsid w:val="00D24CBF"/>
    <w:rsid w:val="00D24EB7"/>
    <w:rsid w:val="00D24F60"/>
    <w:rsid w:val="00D2501A"/>
    <w:rsid w:val="00D2613B"/>
    <w:rsid w:val="00D26755"/>
    <w:rsid w:val="00D27690"/>
    <w:rsid w:val="00D276B3"/>
    <w:rsid w:val="00D27BC0"/>
    <w:rsid w:val="00D27FE9"/>
    <w:rsid w:val="00D30609"/>
    <w:rsid w:val="00D306EF"/>
    <w:rsid w:val="00D30BC0"/>
    <w:rsid w:val="00D3101A"/>
    <w:rsid w:val="00D31798"/>
    <w:rsid w:val="00D325C7"/>
    <w:rsid w:val="00D32A3A"/>
    <w:rsid w:val="00D32C44"/>
    <w:rsid w:val="00D3345A"/>
    <w:rsid w:val="00D33AA1"/>
    <w:rsid w:val="00D33BEE"/>
    <w:rsid w:val="00D34628"/>
    <w:rsid w:val="00D34A22"/>
    <w:rsid w:val="00D34D6E"/>
    <w:rsid w:val="00D35322"/>
    <w:rsid w:val="00D353F4"/>
    <w:rsid w:val="00D35A6D"/>
    <w:rsid w:val="00D36481"/>
    <w:rsid w:val="00D405D9"/>
    <w:rsid w:val="00D40E82"/>
    <w:rsid w:val="00D416BE"/>
    <w:rsid w:val="00D41BAA"/>
    <w:rsid w:val="00D426BA"/>
    <w:rsid w:val="00D42921"/>
    <w:rsid w:val="00D4364F"/>
    <w:rsid w:val="00D4404C"/>
    <w:rsid w:val="00D44C56"/>
    <w:rsid w:val="00D45C71"/>
    <w:rsid w:val="00D46136"/>
    <w:rsid w:val="00D462D3"/>
    <w:rsid w:val="00D46364"/>
    <w:rsid w:val="00D46519"/>
    <w:rsid w:val="00D4674B"/>
    <w:rsid w:val="00D46B10"/>
    <w:rsid w:val="00D4708F"/>
    <w:rsid w:val="00D4717C"/>
    <w:rsid w:val="00D4778B"/>
    <w:rsid w:val="00D50CDD"/>
    <w:rsid w:val="00D512BE"/>
    <w:rsid w:val="00D52104"/>
    <w:rsid w:val="00D52668"/>
    <w:rsid w:val="00D53364"/>
    <w:rsid w:val="00D54AE9"/>
    <w:rsid w:val="00D5512C"/>
    <w:rsid w:val="00D558A7"/>
    <w:rsid w:val="00D562C3"/>
    <w:rsid w:val="00D57082"/>
    <w:rsid w:val="00D5721D"/>
    <w:rsid w:val="00D57344"/>
    <w:rsid w:val="00D57488"/>
    <w:rsid w:val="00D6059B"/>
    <w:rsid w:val="00D60FB6"/>
    <w:rsid w:val="00D616CA"/>
    <w:rsid w:val="00D61998"/>
    <w:rsid w:val="00D61B0A"/>
    <w:rsid w:val="00D61DE1"/>
    <w:rsid w:val="00D62216"/>
    <w:rsid w:val="00D62D9F"/>
    <w:rsid w:val="00D62E53"/>
    <w:rsid w:val="00D63BE4"/>
    <w:rsid w:val="00D63DDD"/>
    <w:rsid w:val="00D642E0"/>
    <w:rsid w:val="00D64346"/>
    <w:rsid w:val="00D64723"/>
    <w:rsid w:val="00D64FFF"/>
    <w:rsid w:val="00D65368"/>
    <w:rsid w:val="00D65BB3"/>
    <w:rsid w:val="00D65F56"/>
    <w:rsid w:val="00D6651B"/>
    <w:rsid w:val="00D66E9B"/>
    <w:rsid w:val="00D6721E"/>
    <w:rsid w:val="00D67C25"/>
    <w:rsid w:val="00D67D33"/>
    <w:rsid w:val="00D7076A"/>
    <w:rsid w:val="00D70BFB"/>
    <w:rsid w:val="00D71997"/>
    <w:rsid w:val="00D7234F"/>
    <w:rsid w:val="00D723E3"/>
    <w:rsid w:val="00D72AFE"/>
    <w:rsid w:val="00D7363C"/>
    <w:rsid w:val="00D73AB3"/>
    <w:rsid w:val="00D73B3C"/>
    <w:rsid w:val="00D75433"/>
    <w:rsid w:val="00D770A7"/>
    <w:rsid w:val="00D77DCD"/>
    <w:rsid w:val="00D80829"/>
    <w:rsid w:val="00D818A3"/>
    <w:rsid w:val="00D81F7A"/>
    <w:rsid w:val="00D8291C"/>
    <w:rsid w:val="00D82FED"/>
    <w:rsid w:val="00D848CD"/>
    <w:rsid w:val="00D84AA9"/>
    <w:rsid w:val="00D84E1A"/>
    <w:rsid w:val="00D860C8"/>
    <w:rsid w:val="00D8648B"/>
    <w:rsid w:val="00D86E1D"/>
    <w:rsid w:val="00D86F4E"/>
    <w:rsid w:val="00D91DF9"/>
    <w:rsid w:val="00D92A0C"/>
    <w:rsid w:val="00D933E0"/>
    <w:rsid w:val="00D95E17"/>
    <w:rsid w:val="00D962BB"/>
    <w:rsid w:val="00D9671E"/>
    <w:rsid w:val="00D96827"/>
    <w:rsid w:val="00D9684F"/>
    <w:rsid w:val="00D976E6"/>
    <w:rsid w:val="00D97A1A"/>
    <w:rsid w:val="00D97AE5"/>
    <w:rsid w:val="00DA0A0A"/>
    <w:rsid w:val="00DA14BB"/>
    <w:rsid w:val="00DA16AD"/>
    <w:rsid w:val="00DA1CCB"/>
    <w:rsid w:val="00DA214C"/>
    <w:rsid w:val="00DA2A6F"/>
    <w:rsid w:val="00DA2DBA"/>
    <w:rsid w:val="00DA3CDF"/>
    <w:rsid w:val="00DA3E34"/>
    <w:rsid w:val="00DA3FC3"/>
    <w:rsid w:val="00DA54E5"/>
    <w:rsid w:val="00DA583F"/>
    <w:rsid w:val="00DA64A0"/>
    <w:rsid w:val="00DA7353"/>
    <w:rsid w:val="00DB08D3"/>
    <w:rsid w:val="00DB0FEB"/>
    <w:rsid w:val="00DB13E2"/>
    <w:rsid w:val="00DB24DB"/>
    <w:rsid w:val="00DB2A69"/>
    <w:rsid w:val="00DB2C53"/>
    <w:rsid w:val="00DB352B"/>
    <w:rsid w:val="00DB3BFF"/>
    <w:rsid w:val="00DB3E0F"/>
    <w:rsid w:val="00DB5B99"/>
    <w:rsid w:val="00DB5CAC"/>
    <w:rsid w:val="00DB63F6"/>
    <w:rsid w:val="00DB64DC"/>
    <w:rsid w:val="00DB66FB"/>
    <w:rsid w:val="00DB79EC"/>
    <w:rsid w:val="00DC0012"/>
    <w:rsid w:val="00DC0B82"/>
    <w:rsid w:val="00DC1EA6"/>
    <w:rsid w:val="00DC2442"/>
    <w:rsid w:val="00DC2DF6"/>
    <w:rsid w:val="00DC2E14"/>
    <w:rsid w:val="00DC3684"/>
    <w:rsid w:val="00DC42C5"/>
    <w:rsid w:val="00DC5144"/>
    <w:rsid w:val="00DC541A"/>
    <w:rsid w:val="00DC5AE1"/>
    <w:rsid w:val="00DC61B3"/>
    <w:rsid w:val="00DC6D5A"/>
    <w:rsid w:val="00DC7562"/>
    <w:rsid w:val="00DC7713"/>
    <w:rsid w:val="00DD021D"/>
    <w:rsid w:val="00DD04E9"/>
    <w:rsid w:val="00DD04F9"/>
    <w:rsid w:val="00DD07D5"/>
    <w:rsid w:val="00DD0D50"/>
    <w:rsid w:val="00DD1740"/>
    <w:rsid w:val="00DD19EA"/>
    <w:rsid w:val="00DD2100"/>
    <w:rsid w:val="00DD2282"/>
    <w:rsid w:val="00DD2997"/>
    <w:rsid w:val="00DD2BA6"/>
    <w:rsid w:val="00DD2E5F"/>
    <w:rsid w:val="00DD3696"/>
    <w:rsid w:val="00DD3F94"/>
    <w:rsid w:val="00DD4483"/>
    <w:rsid w:val="00DD4BA2"/>
    <w:rsid w:val="00DD4CD6"/>
    <w:rsid w:val="00DD4FC7"/>
    <w:rsid w:val="00DD6AE2"/>
    <w:rsid w:val="00DD79EF"/>
    <w:rsid w:val="00DD7AEB"/>
    <w:rsid w:val="00DE0070"/>
    <w:rsid w:val="00DE10D0"/>
    <w:rsid w:val="00DE14A0"/>
    <w:rsid w:val="00DE1A09"/>
    <w:rsid w:val="00DE2A30"/>
    <w:rsid w:val="00DE46C1"/>
    <w:rsid w:val="00DE48E1"/>
    <w:rsid w:val="00DE4A91"/>
    <w:rsid w:val="00DE4D35"/>
    <w:rsid w:val="00DE530E"/>
    <w:rsid w:val="00DE571F"/>
    <w:rsid w:val="00DE5DFF"/>
    <w:rsid w:val="00DE6105"/>
    <w:rsid w:val="00DE728C"/>
    <w:rsid w:val="00DE738F"/>
    <w:rsid w:val="00DE7892"/>
    <w:rsid w:val="00DF07B7"/>
    <w:rsid w:val="00DF0DF7"/>
    <w:rsid w:val="00DF167F"/>
    <w:rsid w:val="00DF2D0F"/>
    <w:rsid w:val="00DF2EB1"/>
    <w:rsid w:val="00DF3207"/>
    <w:rsid w:val="00DF37C9"/>
    <w:rsid w:val="00DF5078"/>
    <w:rsid w:val="00DF5535"/>
    <w:rsid w:val="00DF564E"/>
    <w:rsid w:val="00DF6928"/>
    <w:rsid w:val="00DF7055"/>
    <w:rsid w:val="00DF7FCB"/>
    <w:rsid w:val="00E0023C"/>
    <w:rsid w:val="00E00E20"/>
    <w:rsid w:val="00E01336"/>
    <w:rsid w:val="00E01CC1"/>
    <w:rsid w:val="00E01D40"/>
    <w:rsid w:val="00E02056"/>
    <w:rsid w:val="00E03D25"/>
    <w:rsid w:val="00E0489C"/>
    <w:rsid w:val="00E05F02"/>
    <w:rsid w:val="00E05F69"/>
    <w:rsid w:val="00E06EFB"/>
    <w:rsid w:val="00E07F61"/>
    <w:rsid w:val="00E102EA"/>
    <w:rsid w:val="00E102FE"/>
    <w:rsid w:val="00E10429"/>
    <w:rsid w:val="00E10ABC"/>
    <w:rsid w:val="00E10AEE"/>
    <w:rsid w:val="00E10B46"/>
    <w:rsid w:val="00E10FB6"/>
    <w:rsid w:val="00E11C55"/>
    <w:rsid w:val="00E12CA0"/>
    <w:rsid w:val="00E12CF0"/>
    <w:rsid w:val="00E131BD"/>
    <w:rsid w:val="00E1406D"/>
    <w:rsid w:val="00E156A1"/>
    <w:rsid w:val="00E15B65"/>
    <w:rsid w:val="00E16224"/>
    <w:rsid w:val="00E164ED"/>
    <w:rsid w:val="00E16814"/>
    <w:rsid w:val="00E16BDB"/>
    <w:rsid w:val="00E1736A"/>
    <w:rsid w:val="00E17A5C"/>
    <w:rsid w:val="00E17C03"/>
    <w:rsid w:val="00E2102D"/>
    <w:rsid w:val="00E21150"/>
    <w:rsid w:val="00E2122E"/>
    <w:rsid w:val="00E22426"/>
    <w:rsid w:val="00E251A4"/>
    <w:rsid w:val="00E25240"/>
    <w:rsid w:val="00E2562E"/>
    <w:rsid w:val="00E25EE6"/>
    <w:rsid w:val="00E26FF5"/>
    <w:rsid w:val="00E274B7"/>
    <w:rsid w:val="00E27698"/>
    <w:rsid w:val="00E27BFF"/>
    <w:rsid w:val="00E31902"/>
    <w:rsid w:val="00E32F7A"/>
    <w:rsid w:val="00E333EB"/>
    <w:rsid w:val="00E33A19"/>
    <w:rsid w:val="00E34C64"/>
    <w:rsid w:val="00E34E6F"/>
    <w:rsid w:val="00E355A2"/>
    <w:rsid w:val="00E35C5A"/>
    <w:rsid w:val="00E3709D"/>
    <w:rsid w:val="00E406E6"/>
    <w:rsid w:val="00E408BB"/>
    <w:rsid w:val="00E41A2E"/>
    <w:rsid w:val="00E41C99"/>
    <w:rsid w:val="00E41DEE"/>
    <w:rsid w:val="00E41E9E"/>
    <w:rsid w:val="00E42418"/>
    <w:rsid w:val="00E4302E"/>
    <w:rsid w:val="00E4363B"/>
    <w:rsid w:val="00E441EA"/>
    <w:rsid w:val="00E446D9"/>
    <w:rsid w:val="00E449FE"/>
    <w:rsid w:val="00E44D82"/>
    <w:rsid w:val="00E451E0"/>
    <w:rsid w:val="00E454C2"/>
    <w:rsid w:val="00E45CC9"/>
    <w:rsid w:val="00E520C4"/>
    <w:rsid w:val="00E52F15"/>
    <w:rsid w:val="00E537B0"/>
    <w:rsid w:val="00E53D85"/>
    <w:rsid w:val="00E552FF"/>
    <w:rsid w:val="00E55C2E"/>
    <w:rsid w:val="00E56172"/>
    <w:rsid w:val="00E564DB"/>
    <w:rsid w:val="00E565A4"/>
    <w:rsid w:val="00E571EA"/>
    <w:rsid w:val="00E60089"/>
    <w:rsid w:val="00E60138"/>
    <w:rsid w:val="00E60CBC"/>
    <w:rsid w:val="00E61434"/>
    <w:rsid w:val="00E619D3"/>
    <w:rsid w:val="00E62017"/>
    <w:rsid w:val="00E627ED"/>
    <w:rsid w:val="00E62DAF"/>
    <w:rsid w:val="00E630C2"/>
    <w:rsid w:val="00E6368F"/>
    <w:rsid w:val="00E63D7D"/>
    <w:rsid w:val="00E640E2"/>
    <w:rsid w:val="00E6421F"/>
    <w:rsid w:val="00E6576A"/>
    <w:rsid w:val="00E657B1"/>
    <w:rsid w:val="00E70367"/>
    <w:rsid w:val="00E728F1"/>
    <w:rsid w:val="00E730EB"/>
    <w:rsid w:val="00E73530"/>
    <w:rsid w:val="00E73FD4"/>
    <w:rsid w:val="00E74399"/>
    <w:rsid w:val="00E74FA0"/>
    <w:rsid w:val="00E751FF"/>
    <w:rsid w:val="00E760F7"/>
    <w:rsid w:val="00E76578"/>
    <w:rsid w:val="00E76EFB"/>
    <w:rsid w:val="00E770AA"/>
    <w:rsid w:val="00E77B07"/>
    <w:rsid w:val="00E81E45"/>
    <w:rsid w:val="00E82101"/>
    <w:rsid w:val="00E82139"/>
    <w:rsid w:val="00E82391"/>
    <w:rsid w:val="00E827E3"/>
    <w:rsid w:val="00E84D42"/>
    <w:rsid w:val="00E852DC"/>
    <w:rsid w:val="00E85402"/>
    <w:rsid w:val="00E85691"/>
    <w:rsid w:val="00E8575D"/>
    <w:rsid w:val="00E86B5C"/>
    <w:rsid w:val="00E86BFB"/>
    <w:rsid w:val="00E90AD3"/>
    <w:rsid w:val="00E90DC2"/>
    <w:rsid w:val="00E91050"/>
    <w:rsid w:val="00E92172"/>
    <w:rsid w:val="00E92FCE"/>
    <w:rsid w:val="00E934CD"/>
    <w:rsid w:val="00E93ECF"/>
    <w:rsid w:val="00E95356"/>
    <w:rsid w:val="00E95397"/>
    <w:rsid w:val="00E954CF"/>
    <w:rsid w:val="00E95875"/>
    <w:rsid w:val="00E9653C"/>
    <w:rsid w:val="00E96AF4"/>
    <w:rsid w:val="00E96DCA"/>
    <w:rsid w:val="00E96E7E"/>
    <w:rsid w:val="00E974D5"/>
    <w:rsid w:val="00EA0758"/>
    <w:rsid w:val="00EA0E2F"/>
    <w:rsid w:val="00EA34AE"/>
    <w:rsid w:val="00EA359B"/>
    <w:rsid w:val="00EA3691"/>
    <w:rsid w:val="00EA4490"/>
    <w:rsid w:val="00EA4590"/>
    <w:rsid w:val="00EA4793"/>
    <w:rsid w:val="00EA4B38"/>
    <w:rsid w:val="00EA4D2F"/>
    <w:rsid w:val="00EA5B43"/>
    <w:rsid w:val="00EA6454"/>
    <w:rsid w:val="00EA7DB3"/>
    <w:rsid w:val="00EB07AE"/>
    <w:rsid w:val="00EB07D0"/>
    <w:rsid w:val="00EB0F87"/>
    <w:rsid w:val="00EB1616"/>
    <w:rsid w:val="00EB19F0"/>
    <w:rsid w:val="00EB235E"/>
    <w:rsid w:val="00EB245D"/>
    <w:rsid w:val="00EB4138"/>
    <w:rsid w:val="00EB4F61"/>
    <w:rsid w:val="00EB697A"/>
    <w:rsid w:val="00EB7743"/>
    <w:rsid w:val="00EB7A78"/>
    <w:rsid w:val="00EC0248"/>
    <w:rsid w:val="00EC0686"/>
    <w:rsid w:val="00EC1100"/>
    <w:rsid w:val="00EC1CF3"/>
    <w:rsid w:val="00EC2065"/>
    <w:rsid w:val="00EC2869"/>
    <w:rsid w:val="00EC289E"/>
    <w:rsid w:val="00EC2B69"/>
    <w:rsid w:val="00EC37F7"/>
    <w:rsid w:val="00EC45FC"/>
    <w:rsid w:val="00EC4806"/>
    <w:rsid w:val="00EC4C2A"/>
    <w:rsid w:val="00EC54A9"/>
    <w:rsid w:val="00EC56B0"/>
    <w:rsid w:val="00EC5AD1"/>
    <w:rsid w:val="00EC6C54"/>
    <w:rsid w:val="00EC7B78"/>
    <w:rsid w:val="00ED101B"/>
    <w:rsid w:val="00ED10C3"/>
    <w:rsid w:val="00ED10C7"/>
    <w:rsid w:val="00ED1389"/>
    <w:rsid w:val="00ED2539"/>
    <w:rsid w:val="00ED26D7"/>
    <w:rsid w:val="00ED317A"/>
    <w:rsid w:val="00ED3FFF"/>
    <w:rsid w:val="00ED5258"/>
    <w:rsid w:val="00ED5732"/>
    <w:rsid w:val="00ED5CF4"/>
    <w:rsid w:val="00ED5EB3"/>
    <w:rsid w:val="00ED5F24"/>
    <w:rsid w:val="00ED70CD"/>
    <w:rsid w:val="00ED790C"/>
    <w:rsid w:val="00EE0300"/>
    <w:rsid w:val="00EE0488"/>
    <w:rsid w:val="00EE1292"/>
    <w:rsid w:val="00EE1975"/>
    <w:rsid w:val="00EE2F24"/>
    <w:rsid w:val="00EE43AF"/>
    <w:rsid w:val="00EE4DE3"/>
    <w:rsid w:val="00EE4FF3"/>
    <w:rsid w:val="00EE5615"/>
    <w:rsid w:val="00EE5694"/>
    <w:rsid w:val="00EE6837"/>
    <w:rsid w:val="00EE75B6"/>
    <w:rsid w:val="00EE7747"/>
    <w:rsid w:val="00EE7871"/>
    <w:rsid w:val="00EE7BF6"/>
    <w:rsid w:val="00EF0019"/>
    <w:rsid w:val="00EF02A9"/>
    <w:rsid w:val="00EF04EC"/>
    <w:rsid w:val="00EF0ABE"/>
    <w:rsid w:val="00EF11F1"/>
    <w:rsid w:val="00EF150B"/>
    <w:rsid w:val="00EF1545"/>
    <w:rsid w:val="00EF18E7"/>
    <w:rsid w:val="00EF2645"/>
    <w:rsid w:val="00EF270D"/>
    <w:rsid w:val="00EF35A0"/>
    <w:rsid w:val="00EF3C41"/>
    <w:rsid w:val="00EF4029"/>
    <w:rsid w:val="00EF4177"/>
    <w:rsid w:val="00EF500B"/>
    <w:rsid w:val="00EF61D5"/>
    <w:rsid w:val="00EF66C7"/>
    <w:rsid w:val="00EF6AC0"/>
    <w:rsid w:val="00EF6BAA"/>
    <w:rsid w:val="00EF6C43"/>
    <w:rsid w:val="00EF6E3F"/>
    <w:rsid w:val="00EF77D1"/>
    <w:rsid w:val="00EF7807"/>
    <w:rsid w:val="00EF7C51"/>
    <w:rsid w:val="00F011AC"/>
    <w:rsid w:val="00F0141B"/>
    <w:rsid w:val="00F017D0"/>
    <w:rsid w:val="00F02893"/>
    <w:rsid w:val="00F03722"/>
    <w:rsid w:val="00F03A29"/>
    <w:rsid w:val="00F04B6C"/>
    <w:rsid w:val="00F05B18"/>
    <w:rsid w:val="00F06CC2"/>
    <w:rsid w:val="00F1042E"/>
    <w:rsid w:val="00F10487"/>
    <w:rsid w:val="00F116B6"/>
    <w:rsid w:val="00F11867"/>
    <w:rsid w:val="00F1284C"/>
    <w:rsid w:val="00F13F48"/>
    <w:rsid w:val="00F1446D"/>
    <w:rsid w:val="00F154EB"/>
    <w:rsid w:val="00F15DB3"/>
    <w:rsid w:val="00F17543"/>
    <w:rsid w:val="00F17BA7"/>
    <w:rsid w:val="00F20A3C"/>
    <w:rsid w:val="00F20C83"/>
    <w:rsid w:val="00F20DAE"/>
    <w:rsid w:val="00F21DF6"/>
    <w:rsid w:val="00F2298C"/>
    <w:rsid w:val="00F22A35"/>
    <w:rsid w:val="00F22F7F"/>
    <w:rsid w:val="00F23470"/>
    <w:rsid w:val="00F23BC2"/>
    <w:rsid w:val="00F24530"/>
    <w:rsid w:val="00F24AF7"/>
    <w:rsid w:val="00F251E3"/>
    <w:rsid w:val="00F25BAD"/>
    <w:rsid w:val="00F26C9F"/>
    <w:rsid w:val="00F271DC"/>
    <w:rsid w:val="00F27981"/>
    <w:rsid w:val="00F27BAB"/>
    <w:rsid w:val="00F27CF8"/>
    <w:rsid w:val="00F27F9D"/>
    <w:rsid w:val="00F301AA"/>
    <w:rsid w:val="00F30596"/>
    <w:rsid w:val="00F30650"/>
    <w:rsid w:val="00F32F75"/>
    <w:rsid w:val="00F3329B"/>
    <w:rsid w:val="00F36183"/>
    <w:rsid w:val="00F36968"/>
    <w:rsid w:val="00F37187"/>
    <w:rsid w:val="00F37621"/>
    <w:rsid w:val="00F3768F"/>
    <w:rsid w:val="00F40D7E"/>
    <w:rsid w:val="00F41602"/>
    <w:rsid w:val="00F41937"/>
    <w:rsid w:val="00F41EBA"/>
    <w:rsid w:val="00F4395B"/>
    <w:rsid w:val="00F43C99"/>
    <w:rsid w:val="00F43D26"/>
    <w:rsid w:val="00F44D2B"/>
    <w:rsid w:val="00F44F94"/>
    <w:rsid w:val="00F454C9"/>
    <w:rsid w:val="00F4565F"/>
    <w:rsid w:val="00F4649F"/>
    <w:rsid w:val="00F466B3"/>
    <w:rsid w:val="00F46BAB"/>
    <w:rsid w:val="00F46BF9"/>
    <w:rsid w:val="00F476FC"/>
    <w:rsid w:val="00F477D7"/>
    <w:rsid w:val="00F47BB5"/>
    <w:rsid w:val="00F5119F"/>
    <w:rsid w:val="00F51329"/>
    <w:rsid w:val="00F515D9"/>
    <w:rsid w:val="00F522CC"/>
    <w:rsid w:val="00F52433"/>
    <w:rsid w:val="00F533ED"/>
    <w:rsid w:val="00F53609"/>
    <w:rsid w:val="00F5417C"/>
    <w:rsid w:val="00F548A8"/>
    <w:rsid w:val="00F54A98"/>
    <w:rsid w:val="00F54ABE"/>
    <w:rsid w:val="00F55744"/>
    <w:rsid w:val="00F55F1B"/>
    <w:rsid w:val="00F562BB"/>
    <w:rsid w:val="00F5643E"/>
    <w:rsid w:val="00F57730"/>
    <w:rsid w:val="00F57857"/>
    <w:rsid w:val="00F608FF"/>
    <w:rsid w:val="00F60BAE"/>
    <w:rsid w:val="00F62477"/>
    <w:rsid w:val="00F624C5"/>
    <w:rsid w:val="00F628D0"/>
    <w:rsid w:val="00F62D56"/>
    <w:rsid w:val="00F6400C"/>
    <w:rsid w:val="00F64E8E"/>
    <w:rsid w:val="00F64FE5"/>
    <w:rsid w:val="00F652DF"/>
    <w:rsid w:val="00F65696"/>
    <w:rsid w:val="00F65780"/>
    <w:rsid w:val="00F65F19"/>
    <w:rsid w:val="00F662FC"/>
    <w:rsid w:val="00F66EE2"/>
    <w:rsid w:val="00F67C04"/>
    <w:rsid w:val="00F7039B"/>
    <w:rsid w:val="00F70551"/>
    <w:rsid w:val="00F705CB"/>
    <w:rsid w:val="00F7075A"/>
    <w:rsid w:val="00F71924"/>
    <w:rsid w:val="00F71EEA"/>
    <w:rsid w:val="00F720DA"/>
    <w:rsid w:val="00F72479"/>
    <w:rsid w:val="00F72887"/>
    <w:rsid w:val="00F72B96"/>
    <w:rsid w:val="00F731B2"/>
    <w:rsid w:val="00F73206"/>
    <w:rsid w:val="00F73794"/>
    <w:rsid w:val="00F73C11"/>
    <w:rsid w:val="00F74E07"/>
    <w:rsid w:val="00F74EF9"/>
    <w:rsid w:val="00F757FA"/>
    <w:rsid w:val="00F7661E"/>
    <w:rsid w:val="00F76E84"/>
    <w:rsid w:val="00F76EBC"/>
    <w:rsid w:val="00F80E3D"/>
    <w:rsid w:val="00F8116A"/>
    <w:rsid w:val="00F819E4"/>
    <w:rsid w:val="00F82937"/>
    <w:rsid w:val="00F82FF3"/>
    <w:rsid w:val="00F831C6"/>
    <w:rsid w:val="00F834E4"/>
    <w:rsid w:val="00F83C2B"/>
    <w:rsid w:val="00F83C70"/>
    <w:rsid w:val="00F83D37"/>
    <w:rsid w:val="00F83E2F"/>
    <w:rsid w:val="00F844AD"/>
    <w:rsid w:val="00F84B00"/>
    <w:rsid w:val="00F84BE1"/>
    <w:rsid w:val="00F855E1"/>
    <w:rsid w:val="00F85FAD"/>
    <w:rsid w:val="00F86529"/>
    <w:rsid w:val="00F865BC"/>
    <w:rsid w:val="00F86786"/>
    <w:rsid w:val="00F8695B"/>
    <w:rsid w:val="00F87AE5"/>
    <w:rsid w:val="00F901D6"/>
    <w:rsid w:val="00F912A6"/>
    <w:rsid w:val="00F91454"/>
    <w:rsid w:val="00F9178C"/>
    <w:rsid w:val="00F91FB6"/>
    <w:rsid w:val="00F92B4D"/>
    <w:rsid w:val="00F92B7F"/>
    <w:rsid w:val="00F935C6"/>
    <w:rsid w:val="00F93921"/>
    <w:rsid w:val="00F94643"/>
    <w:rsid w:val="00F94F1F"/>
    <w:rsid w:val="00F95D23"/>
    <w:rsid w:val="00F97505"/>
    <w:rsid w:val="00F97694"/>
    <w:rsid w:val="00FA02E8"/>
    <w:rsid w:val="00FA1530"/>
    <w:rsid w:val="00FA1BBC"/>
    <w:rsid w:val="00FA2488"/>
    <w:rsid w:val="00FA4A9C"/>
    <w:rsid w:val="00FA51F3"/>
    <w:rsid w:val="00FA53B0"/>
    <w:rsid w:val="00FA566C"/>
    <w:rsid w:val="00FA5860"/>
    <w:rsid w:val="00FA5AEB"/>
    <w:rsid w:val="00FA5AFA"/>
    <w:rsid w:val="00FA6062"/>
    <w:rsid w:val="00FA6747"/>
    <w:rsid w:val="00FA6FD8"/>
    <w:rsid w:val="00FA7944"/>
    <w:rsid w:val="00FA7B25"/>
    <w:rsid w:val="00FB0716"/>
    <w:rsid w:val="00FB23A0"/>
    <w:rsid w:val="00FB30E7"/>
    <w:rsid w:val="00FB30F6"/>
    <w:rsid w:val="00FB3386"/>
    <w:rsid w:val="00FB3977"/>
    <w:rsid w:val="00FB3F3E"/>
    <w:rsid w:val="00FB4329"/>
    <w:rsid w:val="00FB493D"/>
    <w:rsid w:val="00FB53ED"/>
    <w:rsid w:val="00FB5568"/>
    <w:rsid w:val="00FB693D"/>
    <w:rsid w:val="00FB6B80"/>
    <w:rsid w:val="00FB7416"/>
    <w:rsid w:val="00FB7C2C"/>
    <w:rsid w:val="00FC02BF"/>
    <w:rsid w:val="00FC0C73"/>
    <w:rsid w:val="00FC3815"/>
    <w:rsid w:val="00FC3B6F"/>
    <w:rsid w:val="00FC42D9"/>
    <w:rsid w:val="00FC4CEF"/>
    <w:rsid w:val="00FC5803"/>
    <w:rsid w:val="00FC58F1"/>
    <w:rsid w:val="00FC5E62"/>
    <w:rsid w:val="00FC6182"/>
    <w:rsid w:val="00FC6498"/>
    <w:rsid w:val="00FC6748"/>
    <w:rsid w:val="00FC7F0E"/>
    <w:rsid w:val="00FD0568"/>
    <w:rsid w:val="00FD158E"/>
    <w:rsid w:val="00FD1A0D"/>
    <w:rsid w:val="00FD23A5"/>
    <w:rsid w:val="00FD2770"/>
    <w:rsid w:val="00FD293B"/>
    <w:rsid w:val="00FD3CB0"/>
    <w:rsid w:val="00FD406B"/>
    <w:rsid w:val="00FD4C06"/>
    <w:rsid w:val="00FD4F8F"/>
    <w:rsid w:val="00FD502C"/>
    <w:rsid w:val="00FD5665"/>
    <w:rsid w:val="00FD57C8"/>
    <w:rsid w:val="00FD631D"/>
    <w:rsid w:val="00FD69DA"/>
    <w:rsid w:val="00FD7FF7"/>
    <w:rsid w:val="00FE0683"/>
    <w:rsid w:val="00FE081A"/>
    <w:rsid w:val="00FE13C4"/>
    <w:rsid w:val="00FE2BCB"/>
    <w:rsid w:val="00FE2C17"/>
    <w:rsid w:val="00FE3D9E"/>
    <w:rsid w:val="00FE48EF"/>
    <w:rsid w:val="00FE4CB5"/>
    <w:rsid w:val="00FE509F"/>
    <w:rsid w:val="00FE5B85"/>
    <w:rsid w:val="00FE5CE9"/>
    <w:rsid w:val="00FE6697"/>
    <w:rsid w:val="00FE737A"/>
    <w:rsid w:val="00FE7ADB"/>
    <w:rsid w:val="00FF0626"/>
    <w:rsid w:val="00FF0903"/>
    <w:rsid w:val="00FF0EC5"/>
    <w:rsid w:val="00FF1012"/>
    <w:rsid w:val="00FF1DD2"/>
    <w:rsid w:val="00FF1FFF"/>
    <w:rsid w:val="00FF220F"/>
    <w:rsid w:val="00FF3FEE"/>
    <w:rsid w:val="00FF4E73"/>
    <w:rsid w:val="00FF5320"/>
    <w:rsid w:val="00FF546C"/>
    <w:rsid w:val="00FF5E71"/>
    <w:rsid w:val="00FF5F7E"/>
    <w:rsid w:val="00FF6C0B"/>
    <w:rsid w:val="00FF6CAF"/>
    <w:rsid w:val="00FF72CC"/>
    <w:rsid w:val="00FF7712"/>
    <w:rsid w:val="00FF7744"/>
    <w:rsid w:val="00FF7DA3"/>
    <w:rsid w:val="00FF7DDD"/>
    <w:rsid w:val="0B8C7415"/>
    <w:rsid w:val="0C5E3112"/>
    <w:rsid w:val="0EDE1965"/>
    <w:rsid w:val="1A92541C"/>
    <w:rsid w:val="1C1C6D28"/>
    <w:rsid w:val="1CCC409D"/>
    <w:rsid w:val="1DDA408C"/>
    <w:rsid w:val="23426190"/>
    <w:rsid w:val="27500280"/>
    <w:rsid w:val="2A88072C"/>
    <w:rsid w:val="325649AF"/>
    <w:rsid w:val="32A17FB7"/>
    <w:rsid w:val="3CD003B7"/>
    <w:rsid w:val="3D173CF1"/>
    <w:rsid w:val="3E2416E5"/>
    <w:rsid w:val="459C5F32"/>
    <w:rsid w:val="47C85F0D"/>
    <w:rsid w:val="4D3640A3"/>
    <w:rsid w:val="4DFC383F"/>
    <w:rsid w:val="4E8F66B6"/>
    <w:rsid w:val="4FF01D72"/>
    <w:rsid w:val="50C24511"/>
    <w:rsid w:val="556904A9"/>
    <w:rsid w:val="5AC93007"/>
    <w:rsid w:val="5BB1094C"/>
    <w:rsid w:val="68B34E41"/>
    <w:rsid w:val="69364F54"/>
    <w:rsid w:val="69E20683"/>
    <w:rsid w:val="6A173346"/>
    <w:rsid w:val="6B965D8F"/>
    <w:rsid w:val="6C4679CA"/>
    <w:rsid w:val="76EC3607"/>
    <w:rsid w:val="78E64108"/>
    <w:rsid w:val="79E4029C"/>
    <w:rsid w:val="79E73069"/>
    <w:rsid w:val="7FE458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37"/>
    <w:qFormat/>
    <w:uiPriority w:val="9"/>
    <w:pPr>
      <w:keepNext/>
      <w:keepLines/>
      <w:spacing w:before="120" w:after="120"/>
      <w:outlineLvl w:val="0"/>
    </w:pPr>
    <w:rPr>
      <w:rFonts w:eastAsia="黑体"/>
      <w:b/>
      <w:bCs/>
      <w:kern w:val="44"/>
      <w:sz w:val="32"/>
      <w:szCs w:val="44"/>
    </w:rPr>
  </w:style>
  <w:style w:type="paragraph" w:styleId="3">
    <w:name w:val="heading 2"/>
    <w:basedOn w:val="4"/>
    <w:next w:val="1"/>
    <w:link w:val="38"/>
    <w:qFormat/>
    <w:uiPriority w:val="0"/>
    <w:pPr>
      <w:spacing w:line="360" w:lineRule="auto"/>
      <w:ind w:firstLine="0" w:firstLineChars="0"/>
      <w:outlineLvl w:val="1"/>
    </w:pPr>
    <w:rPr>
      <w:rFonts w:eastAsia="黑体"/>
      <w:sz w:val="30"/>
      <w:szCs w:val="32"/>
    </w:rPr>
  </w:style>
  <w:style w:type="paragraph" w:styleId="5">
    <w:name w:val="heading 3"/>
    <w:basedOn w:val="1"/>
    <w:next w:val="1"/>
    <w:link w:val="39"/>
    <w:qFormat/>
    <w:uiPriority w:val="0"/>
    <w:pPr>
      <w:keepNext/>
      <w:keepLines/>
      <w:outlineLvl w:val="2"/>
    </w:pPr>
    <w:rPr>
      <w:rFonts w:eastAsia="黑体"/>
      <w:bCs/>
      <w:sz w:val="28"/>
      <w:szCs w:val="32"/>
    </w:rPr>
  </w:style>
  <w:style w:type="paragraph" w:styleId="6">
    <w:name w:val="heading 4"/>
    <w:basedOn w:val="1"/>
    <w:next w:val="1"/>
    <w:link w:val="40"/>
    <w:qFormat/>
    <w:uiPriority w:val="9"/>
    <w:pPr>
      <w:keepNext/>
      <w:keepLines/>
      <w:spacing w:before="280" w:after="290" w:line="376" w:lineRule="auto"/>
      <w:ind w:left="864" w:hanging="864"/>
      <w:outlineLvl w:val="3"/>
    </w:pPr>
    <w:rPr>
      <w:rFonts w:ascii="Cambria" w:hAnsi="Cambria"/>
      <w:b/>
      <w:bCs/>
      <w:sz w:val="28"/>
      <w:szCs w:val="28"/>
    </w:rPr>
  </w:style>
  <w:style w:type="paragraph" w:styleId="7">
    <w:name w:val="heading 5"/>
    <w:basedOn w:val="1"/>
    <w:next w:val="1"/>
    <w:link w:val="41"/>
    <w:qFormat/>
    <w:uiPriority w:val="9"/>
    <w:pPr>
      <w:keepNext/>
      <w:keepLines/>
      <w:spacing w:before="280" w:after="290" w:line="376" w:lineRule="auto"/>
      <w:ind w:left="1008" w:hanging="1008"/>
      <w:outlineLvl w:val="4"/>
    </w:pPr>
    <w:rPr>
      <w:b/>
      <w:bCs/>
      <w:sz w:val="28"/>
      <w:szCs w:val="28"/>
    </w:rPr>
  </w:style>
  <w:style w:type="paragraph" w:styleId="8">
    <w:name w:val="heading 6"/>
    <w:basedOn w:val="1"/>
    <w:next w:val="1"/>
    <w:link w:val="42"/>
    <w:qFormat/>
    <w:uiPriority w:val="9"/>
    <w:pPr>
      <w:keepNext/>
      <w:keepLines/>
      <w:spacing w:before="240" w:after="64" w:line="320" w:lineRule="auto"/>
      <w:ind w:left="1152" w:hanging="1152"/>
      <w:outlineLvl w:val="5"/>
    </w:pPr>
    <w:rPr>
      <w:rFonts w:ascii="Cambria" w:hAnsi="Cambria"/>
      <w:b/>
      <w:bCs/>
      <w:sz w:val="24"/>
      <w:szCs w:val="24"/>
    </w:rPr>
  </w:style>
  <w:style w:type="paragraph" w:styleId="9">
    <w:name w:val="heading 7"/>
    <w:basedOn w:val="1"/>
    <w:next w:val="1"/>
    <w:link w:val="43"/>
    <w:qFormat/>
    <w:uiPriority w:val="9"/>
    <w:pPr>
      <w:keepNext/>
      <w:keepLines/>
      <w:spacing w:before="240" w:after="64" w:line="320" w:lineRule="auto"/>
      <w:ind w:left="1296" w:hanging="1296"/>
      <w:outlineLvl w:val="6"/>
    </w:pPr>
    <w:rPr>
      <w:b/>
      <w:bCs/>
      <w:sz w:val="24"/>
      <w:szCs w:val="24"/>
    </w:rPr>
  </w:style>
  <w:style w:type="paragraph" w:styleId="10">
    <w:name w:val="heading 8"/>
    <w:basedOn w:val="1"/>
    <w:next w:val="1"/>
    <w:link w:val="44"/>
    <w:qFormat/>
    <w:uiPriority w:val="9"/>
    <w:pPr>
      <w:keepNext/>
      <w:keepLines/>
      <w:spacing w:before="240" w:after="64" w:line="320" w:lineRule="auto"/>
      <w:ind w:left="1440" w:hanging="1440"/>
      <w:outlineLvl w:val="7"/>
    </w:pPr>
    <w:rPr>
      <w:rFonts w:ascii="Cambria" w:hAnsi="Cambria"/>
      <w:sz w:val="24"/>
      <w:szCs w:val="24"/>
    </w:rPr>
  </w:style>
  <w:style w:type="paragraph" w:styleId="11">
    <w:name w:val="heading 9"/>
    <w:basedOn w:val="1"/>
    <w:next w:val="1"/>
    <w:link w:val="45"/>
    <w:qFormat/>
    <w:uiPriority w:val="9"/>
    <w:pPr>
      <w:keepNext/>
      <w:keepLines/>
      <w:spacing w:before="240" w:after="64" w:line="320" w:lineRule="auto"/>
      <w:ind w:left="1584" w:hanging="1584"/>
      <w:outlineLvl w:val="8"/>
    </w:pPr>
    <w:rPr>
      <w:rFonts w:ascii="Cambria" w:hAnsi="Cambria"/>
      <w:szCs w:val="21"/>
    </w:rPr>
  </w:style>
  <w:style w:type="character" w:default="1" w:styleId="33">
    <w:name w:val="Default Paragraph Font"/>
    <w:semiHidden/>
    <w:unhideWhenUsed/>
    <w:uiPriority w:val="1"/>
  </w:style>
  <w:style w:type="table" w:default="1" w:styleId="31">
    <w:name w:val="Normal Table"/>
    <w:semiHidden/>
    <w:unhideWhenUsed/>
    <w:uiPriority w:val="99"/>
    <w:tblPr>
      <w:tblCellMar>
        <w:top w:w="0" w:type="dxa"/>
        <w:left w:w="108" w:type="dxa"/>
        <w:bottom w:w="0" w:type="dxa"/>
        <w:right w:w="108" w:type="dxa"/>
      </w:tblCellMar>
    </w:tblPr>
  </w:style>
  <w:style w:type="paragraph" w:styleId="4">
    <w:name w:val="List Paragraph"/>
    <w:basedOn w:val="1"/>
    <w:qFormat/>
    <w:uiPriority w:val="34"/>
    <w:pPr>
      <w:ind w:firstLine="420" w:firstLineChars="200"/>
    </w:pPr>
  </w:style>
  <w:style w:type="paragraph" w:styleId="12">
    <w:name w:val="toc 7"/>
    <w:basedOn w:val="1"/>
    <w:next w:val="1"/>
    <w:unhideWhenUsed/>
    <w:qFormat/>
    <w:uiPriority w:val="39"/>
    <w:pPr>
      <w:ind w:left="2520" w:leftChars="1200"/>
    </w:pPr>
    <w:rPr>
      <w:rFonts w:asciiTheme="minorHAnsi" w:hAnsiTheme="minorHAnsi" w:eastAsiaTheme="minorEastAsia" w:cstheme="minorBidi"/>
    </w:rPr>
  </w:style>
  <w:style w:type="paragraph" w:styleId="13">
    <w:name w:val="Document Map"/>
    <w:basedOn w:val="1"/>
    <w:link w:val="48"/>
    <w:unhideWhenUsed/>
    <w:qFormat/>
    <w:uiPriority w:val="99"/>
    <w:rPr>
      <w:rFonts w:ascii="宋体"/>
      <w:sz w:val="18"/>
      <w:szCs w:val="18"/>
    </w:rPr>
  </w:style>
  <w:style w:type="paragraph" w:styleId="14">
    <w:name w:val="annotation text"/>
    <w:basedOn w:val="1"/>
    <w:link w:val="53"/>
    <w:unhideWhenUsed/>
    <w:qFormat/>
    <w:uiPriority w:val="99"/>
    <w:pPr>
      <w:jc w:val="left"/>
    </w:pPr>
  </w:style>
  <w:style w:type="paragraph" w:styleId="15">
    <w:name w:val="Body Text"/>
    <w:basedOn w:val="1"/>
    <w:link w:val="56"/>
    <w:qFormat/>
    <w:uiPriority w:val="1"/>
    <w:pPr>
      <w:autoSpaceDE w:val="0"/>
      <w:autoSpaceDN w:val="0"/>
      <w:spacing w:line="440" w:lineRule="exact"/>
      <w:ind w:firstLine="200" w:firstLineChars="200"/>
    </w:pPr>
    <w:rPr>
      <w:rFonts w:cs="宋体"/>
      <w:kern w:val="0"/>
      <w:sz w:val="24"/>
      <w:szCs w:val="24"/>
      <w:lang w:val="zh-CN" w:bidi="zh-CN"/>
    </w:rPr>
  </w:style>
  <w:style w:type="paragraph" w:styleId="16">
    <w:name w:val="toc 5"/>
    <w:basedOn w:val="1"/>
    <w:next w:val="1"/>
    <w:unhideWhenUsed/>
    <w:qFormat/>
    <w:uiPriority w:val="39"/>
    <w:pPr>
      <w:ind w:left="1680" w:leftChars="800"/>
    </w:pPr>
    <w:rPr>
      <w:rFonts w:asciiTheme="minorHAnsi" w:hAnsiTheme="minorHAnsi" w:eastAsiaTheme="minorEastAsia" w:cstheme="minorBidi"/>
    </w:rPr>
  </w:style>
  <w:style w:type="paragraph" w:styleId="17">
    <w:name w:val="toc 3"/>
    <w:basedOn w:val="1"/>
    <w:next w:val="1"/>
    <w:unhideWhenUsed/>
    <w:qFormat/>
    <w:uiPriority w:val="39"/>
    <w:pPr>
      <w:widowControl/>
      <w:spacing w:after="100" w:line="259" w:lineRule="auto"/>
      <w:ind w:left="440"/>
      <w:jc w:val="left"/>
    </w:pPr>
    <w:rPr>
      <w:kern w:val="0"/>
      <w:sz w:val="22"/>
    </w:rPr>
  </w:style>
  <w:style w:type="paragraph" w:styleId="18">
    <w:name w:val="toc 8"/>
    <w:basedOn w:val="1"/>
    <w:next w:val="1"/>
    <w:unhideWhenUsed/>
    <w:qFormat/>
    <w:uiPriority w:val="39"/>
    <w:pPr>
      <w:ind w:left="2940" w:leftChars="1400"/>
    </w:pPr>
    <w:rPr>
      <w:rFonts w:asciiTheme="minorHAnsi" w:hAnsiTheme="minorHAnsi" w:eastAsiaTheme="minorEastAsia" w:cstheme="minorBidi"/>
    </w:rPr>
  </w:style>
  <w:style w:type="paragraph" w:styleId="19">
    <w:name w:val="Date"/>
    <w:basedOn w:val="1"/>
    <w:next w:val="1"/>
    <w:link w:val="52"/>
    <w:unhideWhenUsed/>
    <w:qFormat/>
    <w:uiPriority w:val="99"/>
    <w:pPr>
      <w:ind w:left="100" w:leftChars="2500"/>
    </w:pPr>
  </w:style>
  <w:style w:type="paragraph" w:styleId="20">
    <w:name w:val="Balloon Text"/>
    <w:basedOn w:val="1"/>
    <w:link w:val="47"/>
    <w:unhideWhenUsed/>
    <w:qFormat/>
    <w:uiPriority w:val="99"/>
    <w:rPr>
      <w:sz w:val="18"/>
      <w:szCs w:val="18"/>
    </w:rPr>
  </w:style>
  <w:style w:type="paragraph" w:styleId="21">
    <w:name w:val="footer"/>
    <w:basedOn w:val="1"/>
    <w:link w:val="54"/>
    <w:unhideWhenUsed/>
    <w:qFormat/>
    <w:uiPriority w:val="99"/>
    <w:pPr>
      <w:tabs>
        <w:tab w:val="center" w:pos="4153"/>
        <w:tab w:val="right" w:pos="8306"/>
      </w:tabs>
      <w:snapToGrid w:val="0"/>
      <w:jc w:val="left"/>
    </w:pPr>
    <w:rPr>
      <w:sz w:val="18"/>
      <w:szCs w:val="18"/>
    </w:rPr>
  </w:style>
  <w:style w:type="paragraph" w:styleId="22">
    <w:name w:val="header"/>
    <w:basedOn w:val="1"/>
    <w:link w:val="50"/>
    <w:unhideWhenUsed/>
    <w:qFormat/>
    <w:uiPriority w:val="99"/>
    <w:pPr>
      <w:pBdr>
        <w:bottom w:val="single" w:color="auto" w:sz="6" w:space="1"/>
      </w:pBdr>
      <w:tabs>
        <w:tab w:val="center" w:pos="4153"/>
        <w:tab w:val="right" w:pos="8306"/>
      </w:tabs>
      <w:snapToGrid w:val="0"/>
      <w:jc w:val="center"/>
    </w:pPr>
    <w:rPr>
      <w:sz w:val="18"/>
      <w:szCs w:val="18"/>
    </w:rPr>
  </w:style>
  <w:style w:type="paragraph" w:styleId="23">
    <w:name w:val="toc 1"/>
    <w:basedOn w:val="1"/>
    <w:next w:val="1"/>
    <w:unhideWhenUsed/>
    <w:qFormat/>
    <w:uiPriority w:val="39"/>
    <w:pPr>
      <w:widowControl/>
      <w:spacing w:after="100" w:line="259" w:lineRule="auto"/>
      <w:jc w:val="left"/>
    </w:pPr>
    <w:rPr>
      <w:kern w:val="0"/>
      <w:sz w:val="22"/>
    </w:rPr>
  </w:style>
  <w:style w:type="paragraph" w:styleId="24">
    <w:name w:val="toc 4"/>
    <w:basedOn w:val="1"/>
    <w:next w:val="1"/>
    <w:unhideWhenUsed/>
    <w:qFormat/>
    <w:uiPriority w:val="39"/>
    <w:pPr>
      <w:ind w:left="1260" w:leftChars="600"/>
    </w:pPr>
    <w:rPr>
      <w:rFonts w:asciiTheme="minorHAnsi" w:hAnsiTheme="minorHAnsi" w:eastAsiaTheme="minorEastAsia" w:cstheme="minorBidi"/>
    </w:rPr>
  </w:style>
  <w:style w:type="paragraph" w:styleId="25">
    <w:name w:val="toc 6"/>
    <w:basedOn w:val="1"/>
    <w:next w:val="1"/>
    <w:unhideWhenUsed/>
    <w:qFormat/>
    <w:uiPriority w:val="39"/>
    <w:pPr>
      <w:ind w:left="2100" w:leftChars="1000"/>
    </w:pPr>
    <w:rPr>
      <w:rFonts w:asciiTheme="minorHAnsi" w:hAnsiTheme="minorHAnsi" w:eastAsiaTheme="minorEastAsia" w:cstheme="minorBidi"/>
    </w:rPr>
  </w:style>
  <w:style w:type="paragraph" w:styleId="26">
    <w:name w:val="toc 2"/>
    <w:basedOn w:val="1"/>
    <w:next w:val="1"/>
    <w:unhideWhenUsed/>
    <w:qFormat/>
    <w:uiPriority w:val="39"/>
    <w:pPr>
      <w:widowControl/>
      <w:spacing w:after="100" w:line="259" w:lineRule="auto"/>
      <w:ind w:left="220"/>
      <w:jc w:val="left"/>
    </w:pPr>
    <w:rPr>
      <w:kern w:val="0"/>
      <w:sz w:val="22"/>
    </w:rPr>
  </w:style>
  <w:style w:type="paragraph" w:styleId="27">
    <w:name w:val="toc 9"/>
    <w:basedOn w:val="1"/>
    <w:next w:val="1"/>
    <w:unhideWhenUsed/>
    <w:qFormat/>
    <w:uiPriority w:val="39"/>
    <w:pPr>
      <w:ind w:left="3360" w:leftChars="1600"/>
    </w:pPr>
    <w:rPr>
      <w:rFonts w:asciiTheme="minorHAnsi" w:hAnsiTheme="minorHAnsi" w:eastAsiaTheme="minorEastAsia" w:cstheme="minorBidi"/>
    </w:rPr>
  </w:style>
  <w:style w:type="paragraph" w:styleId="28">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9">
    <w:name w:val="Title"/>
    <w:next w:val="1"/>
    <w:link w:val="51"/>
    <w:qFormat/>
    <w:uiPriority w:val="10"/>
    <w:pPr>
      <w:widowControl w:val="0"/>
      <w:autoSpaceDE w:val="0"/>
      <w:autoSpaceDN w:val="0"/>
      <w:spacing w:line="440" w:lineRule="exact"/>
      <w:ind w:right="-113"/>
      <w:jc w:val="center"/>
    </w:pPr>
    <w:rPr>
      <w:rFonts w:ascii="Times New Roman" w:hAnsi="Times New Roman" w:eastAsia="宋体" w:cs="宋体"/>
      <w:b/>
      <w:sz w:val="21"/>
      <w:szCs w:val="48"/>
      <w:lang w:val="zh-CN" w:eastAsia="zh-CN" w:bidi="zh-CN"/>
    </w:rPr>
  </w:style>
  <w:style w:type="paragraph" w:styleId="30">
    <w:name w:val="annotation subject"/>
    <w:basedOn w:val="14"/>
    <w:next w:val="14"/>
    <w:link w:val="55"/>
    <w:unhideWhenUsed/>
    <w:qFormat/>
    <w:uiPriority w:val="99"/>
    <w:pPr>
      <w:autoSpaceDE w:val="0"/>
      <w:autoSpaceDN w:val="0"/>
      <w:spacing w:line="440" w:lineRule="exact"/>
      <w:ind w:firstLine="200" w:firstLineChars="200"/>
    </w:pPr>
    <w:rPr>
      <w:rFonts w:cs="宋体"/>
      <w:b/>
      <w:bCs/>
      <w:kern w:val="0"/>
      <w:sz w:val="24"/>
      <w:lang w:val="zh-CN" w:bidi="zh-CN"/>
    </w:rPr>
  </w:style>
  <w:style w:type="table" w:styleId="32">
    <w:name w:val="Table Grid"/>
    <w:basedOn w:val="3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page number"/>
    <w:basedOn w:val="33"/>
    <w:qFormat/>
    <w:uiPriority w:val="0"/>
  </w:style>
  <w:style w:type="character" w:styleId="35">
    <w:name w:val="Hyperlink"/>
    <w:unhideWhenUsed/>
    <w:qFormat/>
    <w:uiPriority w:val="99"/>
    <w:rPr>
      <w:color w:val="0000FF"/>
      <w:u w:val="single"/>
    </w:rPr>
  </w:style>
  <w:style w:type="character" w:styleId="36">
    <w:name w:val="annotation reference"/>
    <w:unhideWhenUsed/>
    <w:qFormat/>
    <w:uiPriority w:val="99"/>
    <w:rPr>
      <w:sz w:val="21"/>
      <w:szCs w:val="21"/>
    </w:rPr>
  </w:style>
  <w:style w:type="character" w:customStyle="1" w:styleId="37">
    <w:name w:val="标题 1 字符"/>
    <w:link w:val="2"/>
    <w:qFormat/>
    <w:uiPriority w:val="9"/>
    <w:rPr>
      <w:rFonts w:eastAsia="黑体"/>
      <w:b/>
      <w:bCs/>
      <w:kern w:val="44"/>
      <w:sz w:val="32"/>
      <w:szCs w:val="44"/>
    </w:rPr>
  </w:style>
  <w:style w:type="character" w:customStyle="1" w:styleId="38">
    <w:name w:val="标题 2 字符"/>
    <w:link w:val="3"/>
    <w:qFormat/>
    <w:uiPriority w:val="0"/>
    <w:rPr>
      <w:rFonts w:eastAsia="黑体"/>
      <w:kern w:val="2"/>
      <w:sz w:val="30"/>
      <w:szCs w:val="32"/>
    </w:rPr>
  </w:style>
  <w:style w:type="character" w:customStyle="1" w:styleId="39">
    <w:name w:val="标题 3 字符"/>
    <w:link w:val="5"/>
    <w:qFormat/>
    <w:uiPriority w:val="0"/>
    <w:rPr>
      <w:rFonts w:eastAsia="黑体"/>
      <w:bCs/>
      <w:kern w:val="2"/>
      <w:sz w:val="28"/>
      <w:szCs w:val="32"/>
    </w:rPr>
  </w:style>
  <w:style w:type="character" w:customStyle="1" w:styleId="40">
    <w:name w:val="标题 4 字符"/>
    <w:link w:val="6"/>
    <w:qFormat/>
    <w:uiPriority w:val="9"/>
    <w:rPr>
      <w:rFonts w:ascii="Cambria" w:hAnsi="Cambria"/>
      <w:b/>
      <w:bCs/>
      <w:kern w:val="2"/>
      <w:sz w:val="28"/>
      <w:szCs w:val="28"/>
    </w:rPr>
  </w:style>
  <w:style w:type="character" w:customStyle="1" w:styleId="41">
    <w:name w:val="标题 5 字符"/>
    <w:link w:val="7"/>
    <w:qFormat/>
    <w:uiPriority w:val="9"/>
    <w:rPr>
      <w:b/>
      <w:bCs/>
      <w:kern w:val="2"/>
      <w:sz w:val="28"/>
      <w:szCs w:val="28"/>
    </w:rPr>
  </w:style>
  <w:style w:type="character" w:customStyle="1" w:styleId="42">
    <w:name w:val="标题 6 字符"/>
    <w:link w:val="8"/>
    <w:qFormat/>
    <w:uiPriority w:val="9"/>
    <w:rPr>
      <w:rFonts w:ascii="Cambria" w:hAnsi="Cambria"/>
      <w:b/>
      <w:bCs/>
      <w:kern w:val="2"/>
      <w:sz w:val="24"/>
      <w:szCs w:val="24"/>
    </w:rPr>
  </w:style>
  <w:style w:type="character" w:customStyle="1" w:styleId="43">
    <w:name w:val="标题 7 字符"/>
    <w:link w:val="9"/>
    <w:qFormat/>
    <w:uiPriority w:val="9"/>
    <w:rPr>
      <w:b/>
      <w:bCs/>
      <w:kern w:val="2"/>
      <w:sz w:val="24"/>
      <w:szCs w:val="24"/>
    </w:rPr>
  </w:style>
  <w:style w:type="character" w:customStyle="1" w:styleId="44">
    <w:name w:val="标题 8 字符"/>
    <w:link w:val="10"/>
    <w:qFormat/>
    <w:uiPriority w:val="9"/>
    <w:rPr>
      <w:rFonts w:ascii="Cambria" w:hAnsi="Cambria"/>
      <w:kern w:val="2"/>
      <w:sz w:val="24"/>
      <w:szCs w:val="24"/>
    </w:rPr>
  </w:style>
  <w:style w:type="character" w:customStyle="1" w:styleId="45">
    <w:name w:val="标题 9 字符"/>
    <w:link w:val="11"/>
    <w:qFormat/>
    <w:uiPriority w:val="9"/>
    <w:rPr>
      <w:rFonts w:ascii="Cambria" w:hAnsi="Cambria"/>
      <w:kern w:val="2"/>
      <w:sz w:val="21"/>
      <w:szCs w:val="21"/>
    </w:rPr>
  </w:style>
  <w:style w:type="character" w:styleId="46">
    <w:name w:val="Placeholder Text"/>
    <w:semiHidden/>
    <w:qFormat/>
    <w:uiPriority w:val="99"/>
    <w:rPr>
      <w:color w:val="808080"/>
    </w:rPr>
  </w:style>
  <w:style w:type="character" w:customStyle="1" w:styleId="47">
    <w:name w:val="批注框文本 字符"/>
    <w:link w:val="20"/>
    <w:semiHidden/>
    <w:qFormat/>
    <w:uiPriority w:val="99"/>
    <w:rPr>
      <w:sz w:val="18"/>
      <w:szCs w:val="18"/>
    </w:rPr>
  </w:style>
  <w:style w:type="character" w:customStyle="1" w:styleId="48">
    <w:name w:val="文档结构图 字符"/>
    <w:link w:val="13"/>
    <w:semiHidden/>
    <w:qFormat/>
    <w:uiPriority w:val="99"/>
    <w:rPr>
      <w:rFonts w:ascii="宋体" w:eastAsia="宋体"/>
      <w:sz w:val="18"/>
      <w:szCs w:val="18"/>
    </w:rPr>
  </w:style>
  <w:style w:type="character" w:customStyle="1" w:styleId="49">
    <w:name w:val="批注文字 Char"/>
    <w:semiHidden/>
    <w:qFormat/>
    <w:uiPriority w:val="99"/>
    <w:rPr>
      <w:rFonts w:ascii="Times New Roman" w:hAnsi="Times New Roman" w:eastAsia="宋体" w:cs="宋体"/>
      <w:sz w:val="24"/>
      <w:lang w:val="zh-CN" w:eastAsia="zh-CN" w:bidi="zh-CN"/>
    </w:rPr>
  </w:style>
  <w:style w:type="character" w:customStyle="1" w:styleId="50">
    <w:name w:val="页眉 字符"/>
    <w:link w:val="22"/>
    <w:qFormat/>
    <w:uiPriority w:val="99"/>
    <w:rPr>
      <w:sz w:val="18"/>
      <w:szCs w:val="18"/>
    </w:rPr>
  </w:style>
  <w:style w:type="character" w:customStyle="1" w:styleId="51">
    <w:name w:val="标题 字符"/>
    <w:link w:val="29"/>
    <w:qFormat/>
    <w:uiPriority w:val="10"/>
    <w:rPr>
      <w:rFonts w:cs="宋体"/>
      <w:b/>
      <w:sz w:val="21"/>
      <w:szCs w:val="48"/>
      <w:lang w:val="zh-CN" w:bidi="zh-CN"/>
    </w:rPr>
  </w:style>
  <w:style w:type="character" w:customStyle="1" w:styleId="52">
    <w:name w:val="日期 字符"/>
    <w:basedOn w:val="33"/>
    <w:link w:val="19"/>
    <w:semiHidden/>
    <w:qFormat/>
    <w:uiPriority w:val="99"/>
  </w:style>
  <w:style w:type="character" w:customStyle="1" w:styleId="53">
    <w:name w:val="批注文字 字符"/>
    <w:link w:val="14"/>
    <w:qFormat/>
    <w:uiPriority w:val="99"/>
    <w:rPr>
      <w:kern w:val="2"/>
      <w:sz w:val="21"/>
      <w:szCs w:val="22"/>
    </w:rPr>
  </w:style>
  <w:style w:type="character" w:customStyle="1" w:styleId="54">
    <w:name w:val="页脚 字符"/>
    <w:link w:val="21"/>
    <w:qFormat/>
    <w:uiPriority w:val="99"/>
    <w:rPr>
      <w:sz w:val="18"/>
      <w:szCs w:val="18"/>
    </w:rPr>
  </w:style>
  <w:style w:type="character" w:customStyle="1" w:styleId="55">
    <w:name w:val="批注主题 字符"/>
    <w:link w:val="30"/>
    <w:semiHidden/>
    <w:qFormat/>
    <w:uiPriority w:val="99"/>
    <w:rPr>
      <w:rFonts w:cs="宋体"/>
      <w:b/>
      <w:bCs/>
      <w:kern w:val="2"/>
      <w:sz w:val="24"/>
      <w:szCs w:val="22"/>
      <w:lang w:val="zh-CN" w:bidi="zh-CN"/>
    </w:rPr>
  </w:style>
  <w:style w:type="character" w:customStyle="1" w:styleId="56">
    <w:name w:val="正文文本 字符"/>
    <w:link w:val="15"/>
    <w:qFormat/>
    <w:uiPriority w:val="1"/>
    <w:rPr>
      <w:rFonts w:cs="宋体"/>
      <w:sz w:val="24"/>
      <w:szCs w:val="24"/>
      <w:lang w:val="zh-CN" w:bidi="zh-CN"/>
    </w:rPr>
  </w:style>
  <w:style w:type="paragraph" w:customStyle="1" w:styleId="57">
    <w:name w:val="Table Paragraph"/>
    <w:basedOn w:val="1"/>
    <w:qFormat/>
    <w:uiPriority w:val="1"/>
    <w:pPr>
      <w:autoSpaceDE w:val="0"/>
      <w:autoSpaceDN w:val="0"/>
      <w:spacing w:line="440" w:lineRule="exact"/>
      <w:ind w:firstLine="200" w:firstLineChars="200"/>
    </w:pPr>
    <w:rPr>
      <w:rFonts w:cs="宋体"/>
      <w:kern w:val="0"/>
      <w:sz w:val="24"/>
      <w:lang w:val="zh-CN" w:bidi="zh-CN"/>
    </w:rPr>
  </w:style>
  <w:style w:type="paragraph" w:customStyle="1" w:styleId="58">
    <w:name w:val="TOC 标题1"/>
    <w:basedOn w:val="2"/>
    <w:next w:val="1"/>
    <w:unhideWhenUsed/>
    <w:qFormat/>
    <w:uiPriority w:val="39"/>
    <w:pPr>
      <w:widowControl/>
      <w:spacing w:before="240" w:after="0" w:line="259" w:lineRule="auto"/>
      <w:jc w:val="left"/>
      <w:outlineLvl w:val="9"/>
    </w:pPr>
    <w:rPr>
      <w:rFonts w:ascii="Cambria" w:hAnsi="Cambria"/>
      <w:b w:val="0"/>
      <w:bCs w:val="0"/>
      <w:color w:val="366091"/>
      <w:kern w:val="0"/>
      <w:szCs w:val="32"/>
    </w:rPr>
  </w:style>
  <w:style w:type="paragraph" w:customStyle="1" w:styleId="59">
    <w:name w:val="TOC 标题11"/>
    <w:basedOn w:val="2"/>
    <w:next w:val="1"/>
    <w:unhideWhenUsed/>
    <w:qFormat/>
    <w:uiPriority w:val="39"/>
    <w:pPr>
      <w:widowControl/>
      <w:spacing w:before="240" w:after="100" w:afterLines="100" w:line="259" w:lineRule="auto"/>
      <w:jc w:val="left"/>
      <w:outlineLvl w:val="9"/>
    </w:pPr>
    <w:rPr>
      <w:rFonts w:ascii="Cambria" w:hAnsi="Cambria"/>
      <w:b w:val="0"/>
      <w:bCs w:val="0"/>
      <w:color w:val="365F91"/>
      <w:kern w:val="0"/>
      <w:szCs w:val="32"/>
    </w:rPr>
  </w:style>
  <w:style w:type="paragraph" w:customStyle="1" w:styleId="60">
    <w:name w:val="Default"/>
    <w:unhideWhenUsed/>
    <w:qFormat/>
    <w:uiPriority w:val="99"/>
    <w:pPr>
      <w:widowControl w:val="0"/>
      <w:autoSpaceDE w:val="0"/>
      <w:autoSpaceDN w:val="0"/>
      <w:adjustRightInd w:val="0"/>
    </w:pPr>
    <w:rPr>
      <w:rFonts w:hint="eastAsia" w:ascii="宋体" w:hAnsi="宋体" w:eastAsia="宋体" w:cs="Times New Roman"/>
      <w:color w:val="000000"/>
      <w:sz w:val="24"/>
      <w:lang w:val="en-US" w:eastAsia="zh-CN" w:bidi="ar-SA"/>
    </w:rPr>
  </w:style>
  <w:style w:type="paragraph" w:customStyle="1" w:styleId="61">
    <w:name w:val="TOC 标题2"/>
    <w:basedOn w:val="2"/>
    <w:next w:val="1"/>
    <w:unhideWhenUsed/>
    <w:qFormat/>
    <w:uiPriority w:val="39"/>
    <w:pPr>
      <w:widowControl/>
      <w:spacing w:before="240" w:after="100" w:afterLines="100" w:line="259" w:lineRule="auto"/>
      <w:jc w:val="left"/>
      <w:outlineLvl w:val="9"/>
    </w:pPr>
    <w:rPr>
      <w:rFonts w:ascii="Cambria" w:hAnsi="Cambria"/>
      <w:b w:val="0"/>
      <w:bCs w:val="0"/>
      <w:color w:val="365F91"/>
      <w:kern w:val="0"/>
      <w:szCs w:val="32"/>
    </w:rPr>
  </w:style>
  <w:style w:type="table" w:customStyle="1" w:styleId="62">
    <w:name w:val="网格型4"/>
    <w:basedOn w:val="31"/>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
    <w:name w:val="网格型5"/>
    <w:basedOn w:val="31"/>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
    <w:name w:val="Table Normal"/>
    <w:unhideWhenUsed/>
    <w:qFormat/>
    <w:uiPriority w:val="2"/>
    <w:pPr>
      <w:widowControl w:val="0"/>
      <w:autoSpaceDE w:val="0"/>
      <w:autoSpaceDN w:val="0"/>
    </w:pPr>
    <w:rPr>
      <w:rFonts w:ascii="Calibri" w:hAnsi="Calibri"/>
      <w:sz w:val="22"/>
      <w:szCs w:val="22"/>
      <w:lang w:eastAsia="en-US"/>
    </w:rPr>
    <w:tblPr>
      <w:tblCellMar>
        <w:top w:w="0" w:type="dxa"/>
        <w:left w:w="0" w:type="dxa"/>
        <w:bottom w:w="0" w:type="dxa"/>
        <w:right w:w="0" w:type="dxa"/>
      </w:tblCellMar>
    </w:tblPr>
  </w:style>
  <w:style w:type="table" w:customStyle="1" w:styleId="65">
    <w:name w:val="网格型2"/>
    <w:basedOn w:val="3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Table Normal1"/>
    <w:unhideWhenUsed/>
    <w:qFormat/>
    <w:uiPriority w:val="2"/>
    <w:pPr>
      <w:widowControl w:val="0"/>
      <w:autoSpaceDE w:val="0"/>
      <w:autoSpaceDN w:val="0"/>
    </w:pPr>
    <w:rPr>
      <w:rFonts w:ascii="Calibri" w:hAnsi="Calibri"/>
      <w:sz w:val="22"/>
      <w:szCs w:val="22"/>
      <w:lang w:eastAsia="en-US"/>
    </w:rPr>
    <w:tblPr>
      <w:tblCellMar>
        <w:top w:w="0" w:type="dxa"/>
        <w:left w:w="0" w:type="dxa"/>
        <w:bottom w:w="0" w:type="dxa"/>
        <w:right w:w="0" w:type="dxa"/>
      </w:tblCellMar>
    </w:tblPr>
  </w:style>
  <w:style w:type="table" w:customStyle="1" w:styleId="67">
    <w:name w:val="网格型1"/>
    <w:basedOn w:val="3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
    <w:name w:val="网格型3"/>
    <w:basedOn w:val="31"/>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9">
    <w:name w:val="Char Char Char Char"/>
    <w:basedOn w:val="1"/>
    <w:qFormat/>
    <w:uiPriority w:val="0"/>
    <w:pPr>
      <w:spacing w:line="300" w:lineRule="auto"/>
      <w:ind w:left="432" w:firstLine="200" w:firstLineChars="200"/>
    </w:pPr>
    <w:rPr>
      <w:sz w:val="24"/>
      <w:szCs w:val="24"/>
    </w:rPr>
  </w:style>
  <w:style w:type="paragraph" w:customStyle="1" w:styleId="70">
    <w:name w:val="Char Char Char Char1"/>
    <w:basedOn w:val="1"/>
    <w:qFormat/>
    <w:uiPriority w:val="0"/>
    <w:pPr>
      <w:spacing w:line="300" w:lineRule="auto"/>
      <w:ind w:left="432" w:firstLine="200" w:firstLineChars="200"/>
    </w:pPr>
    <w:rPr>
      <w:sz w:val="24"/>
      <w:szCs w:val="24"/>
    </w:rPr>
  </w:style>
  <w:style w:type="paragraph" w:customStyle="1" w:styleId="71">
    <w:name w:val="TOC 标题3"/>
    <w:basedOn w:val="2"/>
    <w:next w:val="1"/>
    <w:semiHidden/>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72">
    <w:name w:val="段"/>
    <w:link w:val="73"/>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73">
    <w:name w:val="段 Char"/>
    <w:link w:val="72"/>
    <w:qFormat/>
    <w:uiPriority w:val="0"/>
    <w:rPr>
      <w:rFonts w:ascii="宋体"/>
      <w:sz w:val="21"/>
    </w:rPr>
  </w:style>
  <w:style w:type="table" w:customStyle="1" w:styleId="74">
    <w:name w:val="网格型6"/>
    <w:basedOn w:val="31"/>
    <w:qFormat/>
    <w:uiPriority w:val="0"/>
    <w:pPr>
      <w:numPr>
        <w:numId w:val="1"/>
      </w:numPr>
    </w:pPr>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75">
    <w:name w:val="一级条标题"/>
    <w:next w:val="1"/>
    <w:qFormat/>
    <w:uiPriority w:val="0"/>
    <w:pPr>
      <w:spacing w:beforeLines="50" w:afterLines="50"/>
      <w:outlineLvl w:val="2"/>
    </w:pPr>
    <w:rPr>
      <w:rFonts w:ascii="黑体" w:hAnsi="Times New Roman" w:eastAsia="黑体" w:cs="Times New Roman"/>
      <w:sz w:val="21"/>
      <w:szCs w:val="21"/>
      <w:lang w:val="en-US" w:eastAsia="zh-CN" w:bidi="ar-SA"/>
    </w:rPr>
  </w:style>
  <w:style w:type="paragraph" w:customStyle="1" w:styleId="76">
    <w:name w:val="正文表标题"/>
    <w:next w:val="1"/>
    <w:qFormat/>
    <w:uiPriority w:val="0"/>
    <w:pPr>
      <w:numPr>
        <w:ilvl w:val="0"/>
        <w:numId w:val="2"/>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77">
    <w:name w:val="二级无"/>
    <w:basedOn w:val="1"/>
    <w:qFormat/>
    <w:uiPriority w:val="0"/>
    <w:pPr>
      <w:widowControl/>
      <w:spacing w:before="50" w:after="50"/>
      <w:ind w:left="142"/>
      <w:jc w:val="left"/>
      <w:outlineLvl w:val="3"/>
    </w:pPr>
    <w:rPr>
      <w:rFonts w:ascii="宋体"/>
      <w:kern w:val="0"/>
      <w:szCs w:val="21"/>
    </w:rPr>
  </w:style>
  <w:style w:type="paragraph" w:customStyle="1" w:styleId="78">
    <w:name w:val="二级条标题"/>
    <w:basedOn w:val="75"/>
    <w:next w:val="72"/>
    <w:qFormat/>
    <w:uiPriority w:val="0"/>
    <w:pPr>
      <w:spacing w:before="50" w:after="50"/>
      <w:outlineLvl w:val="3"/>
    </w:pPr>
  </w:style>
  <w:style w:type="paragraph" w:customStyle="1" w:styleId="79">
    <w:name w:val="公式1"/>
    <w:basedOn w:val="1"/>
    <w:next w:val="1"/>
    <w:qFormat/>
    <w:uiPriority w:val="0"/>
    <w:pPr>
      <w:tabs>
        <w:tab w:val="center" w:pos="4099"/>
        <w:tab w:val="right" w:pos="8301"/>
      </w:tabs>
      <w:spacing w:before="100" w:after="100"/>
    </w:pPr>
    <w:rPr>
      <w:rFonts w:asciiTheme="minorHAnsi" w:hAnsiTheme="minorHAnsi" w:cstheme="minorBidi"/>
    </w:rPr>
  </w:style>
  <w:style w:type="paragraph" w:customStyle="1" w:styleId="80">
    <w:name w:val="修订1"/>
    <w:hidden/>
    <w:unhideWhenUsed/>
    <w:uiPriority w:val="99"/>
    <w:rPr>
      <w:rFonts w:ascii="Times New Roman" w:hAnsi="Times New Roman" w:eastAsia="宋体" w:cs="Times New Roman"/>
      <w:kern w:val="2"/>
      <w:sz w:val="21"/>
      <w:szCs w:val="22"/>
      <w:lang w:val="en-US" w:eastAsia="zh-CN" w:bidi="ar-SA"/>
    </w:rPr>
  </w:style>
  <w:style w:type="paragraph" w:customStyle="1" w:styleId="81">
    <w:name w:val="封面标准名称"/>
    <w:qFormat/>
    <w:uiPriority w:val="0"/>
    <w:pPr>
      <w:framePr w:w="9639" w:h="6917" w:hRule="exact" w:wrap="around" w:vAnchor="page" w:hAnchor="page" w:xAlign="center" w:y="6408"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82">
    <w:name w:val="B正文"/>
    <w:basedOn w:val="1"/>
    <w:qFormat/>
    <w:uiPriority w:val="0"/>
    <w:pPr>
      <w:spacing w:line="440" w:lineRule="exact"/>
      <w:ind w:firstLine="200" w:firstLineChars="200"/>
    </w:pPr>
    <w:rPr>
      <w:rFonts w:eastAsia="仿宋" w:cs="仿宋"/>
      <w:sz w:val="24"/>
      <w:szCs w:val="21"/>
    </w:rPr>
  </w:style>
  <w:style w:type="character" w:customStyle="1" w:styleId="83">
    <w:name w:val="font21"/>
    <w:basedOn w:val="33"/>
    <w:uiPriority w:val="0"/>
    <w:rPr>
      <w:rFonts w:hint="eastAsia" w:ascii="仿宋" w:hAnsi="仿宋" w:eastAsia="仿宋"/>
      <w:b/>
      <w:bCs/>
      <w:color w:val="000000"/>
      <w:sz w:val="22"/>
      <w:szCs w:val="22"/>
      <w:u w:val="none"/>
    </w:rPr>
  </w:style>
  <w:style w:type="character" w:customStyle="1" w:styleId="84">
    <w:name w:val="font51"/>
    <w:basedOn w:val="33"/>
    <w:uiPriority w:val="0"/>
    <w:rPr>
      <w:rFonts w:hint="eastAsia" w:ascii="仿宋" w:hAnsi="仿宋" w:eastAsia="仿宋"/>
      <w:b/>
      <w:bCs/>
      <w:color w:val="000000"/>
      <w:sz w:val="22"/>
      <w:szCs w:val="22"/>
      <w:u w:val="none"/>
      <w:vertAlign w:val="superscript"/>
    </w:rPr>
  </w:style>
  <w:style w:type="paragraph" w:customStyle="1" w:styleId="85">
    <w:name w:val="CAEP表体"/>
    <w:basedOn w:val="1"/>
    <w:link w:val="86"/>
    <w:qFormat/>
    <w:uiPriority w:val="0"/>
    <w:pPr>
      <w:widowControl/>
      <w:adjustRightInd w:val="0"/>
      <w:snapToGrid w:val="0"/>
      <w:spacing w:line="240" w:lineRule="atLeast"/>
      <w:jc w:val="center"/>
    </w:pPr>
    <w:rPr>
      <w:kern w:val="0"/>
      <w:sz w:val="24"/>
      <w:szCs w:val="20"/>
    </w:rPr>
  </w:style>
  <w:style w:type="character" w:customStyle="1" w:styleId="86">
    <w:name w:val="CAEP表体 Char"/>
    <w:basedOn w:val="33"/>
    <w:link w:val="85"/>
    <w:qFormat/>
    <w:uiPriority w:val="0"/>
    <w:rPr>
      <w:sz w:val="24"/>
    </w:rPr>
  </w:style>
  <w:style w:type="paragraph" w:customStyle="1" w:styleId="87">
    <w:name w:val="Revision"/>
    <w:hidden/>
    <w:unhideWhenUsed/>
    <w:uiPriority w:val="99"/>
    <w:rPr>
      <w:rFonts w:ascii="Times New Roman" w:hAnsi="Times New Roman" w:eastAsia="宋体" w:cs="Times New Roman"/>
      <w:kern w:val="2"/>
      <w:sz w:val="21"/>
      <w:szCs w:val="22"/>
      <w:lang w:val="en-US" w:eastAsia="zh-CN"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fontTable" Target="fontTable.xml"/><Relationship Id="rId15" Type="http://schemas.microsoft.com/office/2006/relationships/keyMapCustomizations" Target="customizations.xml"/><Relationship Id="rId14" Type="http://schemas.openxmlformats.org/officeDocument/2006/relationships/customXml" Target="../customXml/item1.xml"/><Relationship Id="rId13" Type="http://schemas.openxmlformats.org/officeDocument/2006/relationships/numbering" Target="numbering.xml"/><Relationship Id="rId12" Type="http://schemas.openxmlformats.org/officeDocument/2006/relationships/image" Target="media/image4.jpeg"/><Relationship Id="rId11" Type="http://schemas.openxmlformats.org/officeDocument/2006/relationships/image" Target="media/image3.jpe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AEACE"/>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2C9B12-6F0D-462F-99C7-EBBC0486634D}">
  <ds:schemaRefs/>
</ds:datastoreItem>
</file>

<file path=docProps/app.xml><?xml version="1.0" encoding="utf-8"?>
<Properties xmlns="http://schemas.openxmlformats.org/officeDocument/2006/extended-properties" xmlns:vt="http://schemas.openxmlformats.org/officeDocument/2006/docPropsVTypes">
  <Template>Normal</Template>
  <Company>微软(中国)有限公司</Company>
  <Pages>30</Pages>
  <Words>15298</Words>
  <Characters>15901</Characters>
  <Lines>124</Lines>
  <Paragraphs>34</Paragraphs>
  <TotalTime>3792</TotalTime>
  <ScaleCrop>false</ScaleCrop>
  <LinksUpToDate>false</LinksUpToDate>
  <CharactersWithSpaces>16037</CharactersWithSpaces>
  <Application>WPS Office_12.1.0.18166_F1E327BC-269C-435d-A152-05C5408002CA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2024-09-11T07:58:00Z</dcterms:created>
  <dc:creator>Lenovo User</dc:creator>
  <cp:lastModifiedBy>华子</cp:lastModifiedBy>
  <cp:lastPrinted>2020-06-15T03:21:00Z</cp:lastPrinted>
  <dcterms:modified xsi:type="dcterms:W3CDTF">2025-04-07T02:45:44Z</dcterms:modified>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2052-12.1.0.18166</vt:lpwstr>
  </property>
  <property fmtid="{D5CDD505-2E9C-101B-9397-08002B2CF9AE}" pid="3" name="ICV">
    <vt:lpwstr>45307C38DDB742AB8053FDCCF74ABDDB_13</vt:lpwstr>
  </property>
</Properties>
</file>